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EB" w:rsidRPr="00225166" w:rsidRDefault="00556DEB">
      <w:pPr>
        <w:pStyle w:val="Body"/>
        <w:spacing w:line="480" w:lineRule="auto"/>
        <w:jc w:val="center"/>
        <w:rPr>
          <w:rFonts w:ascii="Times New Roman" w:hAnsi="Times New Roman" w:cs="Times New Roman"/>
          <w:b/>
          <w:bCs/>
          <w:sz w:val="24"/>
          <w:szCs w:val="24"/>
        </w:rPr>
      </w:pPr>
    </w:p>
    <w:p w:rsidR="00556DEB" w:rsidRPr="00225166" w:rsidRDefault="00556DEB">
      <w:pPr>
        <w:pStyle w:val="Body"/>
        <w:spacing w:line="480" w:lineRule="auto"/>
        <w:jc w:val="center"/>
        <w:rPr>
          <w:rFonts w:ascii="Times New Roman" w:hAnsi="Times New Roman" w:cs="Times New Roman"/>
          <w:b/>
          <w:bCs/>
          <w:sz w:val="24"/>
          <w:szCs w:val="24"/>
        </w:rPr>
      </w:pPr>
    </w:p>
    <w:p w:rsidR="00556DEB" w:rsidRPr="00225166" w:rsidRDefault="00556DEB">
      <w:pPr>
        <w:pStyle w:val="Body"/>
        <w:spacing w:line="480" w:lineRule="auto"/>
        <w:jc w:val="center"/>
        <w:rPr>
          <w:rFonts w:ascii="Times New Roman" w:hAnsi="Times New Roman" w:cs="Times New Roman"/>
          <w:b/>
          <w:bCs/>
          <w:sz w:val="24"/>
          <w:szCs w:val="24"/>
        </w:rPr>
      </w:pPr>
    </w:p>
    <w:p w:rsidR="00556DEB" w:rsidRPr="00225166" w:rsidRDefault="00556DEB">
      <w:pPr>
        <w:pStyle w:val="Body"/>
        <w:spacing w:line="480" w:lineRule="auto"/>
        <w:jc w:val="center"/>
        <w:rPr>
          <w:rFonts w:ascii="Times New Roman" w:hAnsi="Times New Roman" w:cs="Times New Roman"/>
          <w:b/>
          <w:bCs/>
          <w:sz w:val="24"/>
          <w:szCs w:val="24"/>
        </w:rPr>
      </w:pPr>
    </w:p>
    <w:p w:rsidR="00556DEB" w:rsidRPr="00225166" w:rsidRDefault="000F31CF">
      <w:pPr>
        <w:pStyle w:val="Body"/>
        <w:spacing w:line="480" w:lineRule="auto"/>
        <w:jc w:val="center"/>
        <w:rPr>
          <w:rFonts w:ascii="Times New Roman" w:eastAsia="Times New Roman" w:hAnsi="Times New Roman" w:cs="Times New Roman"/>
          <w:b/>
          <w:bCs/>
          <w:sz w:val="24"/>
          <w:szCs w:val="24"/>
        </w:rPr>
      </w:pPr>
      <w:r w:rsidRPr="00225166">
        <w:rPr>
          <w:rFonts w:ascii="Times New Roman" w:hAnsi="Times New Roman" w:cs="Times New Roman"/>
          <w:b/>
          <w:bCs/>
          <w:sz w:val="24"/>
          <w:szCs w:val="24"/>
        </w:rPr>
        <w:t>Humanizing Rational Numbers in Middle School</w:t>
      </w:r>
    </w:p>
    <w:p w:rsidR="00556DEB" w:rsidRPr="00225166" w:rsidRDefault="00556DEB">
      <w:pPr>
        <w:pStyle w:val="Body"/>
        <w:spacing w:line="480" w:lineRule="auto"/>
        <w:jc w:val="center"/>
        <w:rPr>
          <w:rFonts w:ascii="Times New Roman" w:eastAsia="Times New Roman" w:hAnsi="Times New Roman" w:cs="Times New Roman"/>
          <w:b/>
          <w:bCs/>
          <w:sz w:val="24"/>
          <w:szCs w:val="24"/>
        </w:rPr>
      </w:pPr>
    </w:p>
    <w:p w:rsidR="00556DEB" w:rsidRPr="00225166" w:rsidRDefault="000F31CF">
      <w:pPr>
        <w:pStyle w:val="Body"/>
        <w:spacing w:line="480" w:lineRule="auto"/>
        <w:jc w:val="center"/>
        <w:rPr>
          <w:rFonts w:ascii="Times New Roman" w:eastAsia="Times New Roman" w:hAnsi="Times New Roman" w:cs="Times New Roman"/>
          <w:sz w:val="24"/>
          <w:szCs w:val="24"/>
        </w:rPr>
      </w:pPr>
      <w:r w:rsidRPr="00225166">
        <w:rPr>
          <w:rFonts w:ascii="Times New Roman" w:hAnsi="Times New Roman" w:cs="Times New Roman"/>
          <w:sz w:val="24"/>
          <w:szCs w:val="24"/>
          <w:lang w:val="sv-SE"/>
        </w:rPr>
        <w:t>Connor Desai</w:t>
      </w:r>
      <w:r w:rsidRPr="00225166">
        <w:rPr>
          <w:rFonts w:ascii="Times New Roman" w:hAnsi="Times New Roman" w:cs="Times New Roman"/>
          <w:sz w:val="24"/>
          <w:szCs w:val="24"/>
        </w:rPr>
        <w:t>, MAT</w:t>
      </w:r>
    </w:p>
    <w:p w:rsidR="00556DEB" w:rsidRPr="00225166" w:rsidRDefault="000F31CF">
      <w:pPr>
        <w:pStyle w:val="Body"/>
        <w:spacing w:line="480" w:lineRule="auto"/>
        <w:jc w:val="center"/>
        <w:rPr>
          <w:rFonts w:ascii="Times New Roman" w:eastAsia="Times New Roman" w:hAnsi="Times New Roman" w:cs="Times New Roman"/>
        </w:rPr>
      </w:pPr>
      <w:r w:rsidRPr="00225166">
        <w:rPr>
          <w:rFonts w:ascii="Times New Roman" w:hAnsi="Times New Roman" w:cs="Times New Roman"/>
        </w:rPr>
        <w:t>Graduate School of Education, Seattle Pacific University</w:t>
      </w:r>
    </w:p>
    <w:p w:rsidR="00556DEB" w:rsidRPr="00225166" w:rsidRDefault="000F31CF">
      <w:pPr>
        <w:pStyle w:val="Body"/>
        <w:spacing w:line="480" w:lineRule="auto"/>
        <w:jc w:val="center"/>
        <w:rPr>
          <w:rFonts w:ascii="Times New Roman" w:eastAsia="Times New Roman" w:hAnsi="Times New Roman" w:cs="Times New Roman"/>
        </w:rPr>
      </w:pPr>
      <w:r w:rsidRPr="00225166">
        <w:rPr>
          <w:rFonts w:ascii="Times New Roman" w:hAnsi="Times New Roman" w:cs="Times New Roman"/>
          <w:i/>
          <w:iCs/>
          <w:sz w:val="20"/>
          <w:szCs w:val="20"/>
          <w:lang w:val="pt-PT"/>
        </w:rPr>
        <w:t>desaic@spu.edu</w:t>
      </w:r>
    </w:p>
    <w:p w:rsidR="00556DEB" w:rsidRPr="00225166" w:rsidRDefault="00556DEB">
      <w:pPr>
        <w:pStyle w:val="Body"/>
        <w:spacing w:line="480" w:lineRule="auto"/>
        <w:jc w:val="center"/>
        <w:rPr>
          <w:rFonts w:ascii="Times New Roman" w:eastAsia="Times New Roman" w:hAnsi="Times New Roman" w:cs="Times New Roman"/>
          <w:sz w:val="24"/>
          <w:szCs w:val="24"/>
        </w:rPr>
      </w:pPr>
    </w:p>
    <w:p w:rsidR="00556DEB" w:rsidRPr="00225166" w:rsidRDefault="00556DEB">
      <w:pPr>
        <w:pStyle w:val="Body"/>
        <w:spacing w:line="480" w:lineRule="auto"/>
        <w:jc w:val="center"/>
        <w:rPr>
          <w:rFonts w:ascii="Times New Roman" w:eastAsia="Times New Roman" w:hAnsi="Times New Roman" w:cs="Times New Roman"/>
          <w:sz w:val="24"/>
          <w:szCs w:val="24"/>
        </w:rPr>
      </w:pPr>
    </w:p>
    <w:p w:rsidR="00556DEB" w:rsidRPr="00225166" w:rsidRDefault="00556DEB">
      <w:pPr>
        <w:pStyle w:val="Body"/>
        <w:spacing w:line="480" w:lineRule="auto"/>
        <w:jc w:val="center"/>
        <w:rPr>
          <w:rFonts w:ascii="Times New Roman" w:eastAsia="Times New Roman" w:hAnsi="Times New Roman" w:cs="Times New Roman"/>
          <w:sz w:val="24"/>
          <w:szCs w:val="24"/>
        </w:rPr>
      </w:pPr>
    </w:p>
    <w:p w:rsidR="00556DEB" w:rsidRPr="00225166" w:rsidRDefault="00556DEB">
      <w:pPr>
        <w:pStyle w:val="Body"/>
        <w:spacing w:line="480" w:lineRule="auto"/>
        <w:jc w:val="center"/>
        <w:rPr>
          <w:rFonts w:ascii="Times New Roman" w:eastAsia="Times New Roman" w:hAnsi="Times New Roman" w:cs="Times New Roman"/>
          <w:sz w:val="24"/>
          <w:szCs w:val="24"/>
        </w:rPr>
      </w:pPr>
    </w:p>
    <w:p w:rsidR="00556DEB" w:rsidRPr="00225166" w:rsidRDefault="00556DEB">
      <w:pPr>
        <w:pStyle w:val="Body"/>
        <w:spacing w:line="480" w:lineRule="auto"/>
        <w:rPr>
          <w:rFonts w:ascii="Times New Roman" w:eastAsia="Times New Roman" w:hAnsi="Times New Roman" w:cs="Times New Roman"/>
          <w:b/>
          <w:bCs/>
          <w:sz w:val="24"/>
          <w:szCs w:val="24"/>
        </w:rPr>
      </w:pPr>
    </w:p>
    <w:p w:rsidR="00556DEB" w:rsidRPr="004421BB" w:rsidRDefault="000F31CF">
      <w:pPr>
        <w:pStyle w:val="Body"/>
        <w:rPr>
          <w:rFonts w:ascii="Times New Roman" w:hAnsi="Times New Roman" w:cs="Times New Roman"/>
        </w:rPr>
      </w:pPr>
      <w:r w:rsidRPr="004421BB">
        <w:rPr>
          <w:rFonts w:ascii="Times New Roman" w:hAnsi="Times New Roman" w:cs="Times New Roman"/>
          <w:sz w:val="24"/>
          <w:szCs w:val="24"/>
        </w:rPr>
        <w:br w:type="page"/>
      </w:r>
    </w:p>
    <w:p w:rsidR="00556DEB" w:rsidRPr="00225166" w:rsidRDefault="000F31CF">
      <w:pPr>
        <w:pStyle w:val="Body"/>
        <w:spacing w:line="480" w:lineRule="auto"/>
        <w:jc w:val="center"/>
        <w:rPr>
          <w:rFonts w:ascii="Times New Roman" w:eastAsia="Times New Roman" w:hAnsi="Times New Roman" w:cs="Times New Roman"/>
        </w:rPr>
      </w:pPr>
      <w:r w:rsidRPr="00225166">
        <w:rPr>
          <w:rFonts w:ascii="Times New Roman" w:hAnsi="Times New Roman" w:cs="Times New Roman"/>
          <w:b/>
          <w:bCs/>
          <w:sz w:val="24"/>
          <w:szCs w:val="24"/>
          <w:lang w:val="de-DE"/>
        </w:rPr>
        <w:lastRenderedPageBreak/>
        <w:t>Abstract</w:t>
      </w:r>
    </w:p>
    <w:p w:rsidR="00556DEB" w:rsidRPr="00225166" w:rsidRDefault="000F31CF">
      <w:pPr>
        <w:pStyle w:val="Body"/>
        <w:spacing w:line="240" w:lineRule="auto"/>
        <w:rPr>
          <w:rFonts w:ascii="Times New Roman" w:eastAsia="Times New Roman" w:hAnsi="Times New Roman" w:cs="Times New Roman"/>
          <w:sz w:val="24"/>
          <w:szCs w:val="24"/>
        </w:rPr>
      </w:pPr>
      <w:r w:rsidRPr="004421BB">
        <w:rPr>
          <w:rFonts w:ascii="Times New Roman" w:hAnsi="Times New Roman" w:cs="Times New Roman"/>
          <w:sz w:val="24"/>
          <w:szCs w:val="24"/>
        </w:rPr>
        <w:t>This paper aims to re-examine the curricular pedagogy and framework of math education, particularly concerning rational numbers in middle school. The introduction presents an overview of sequential pathways and statistical data in U.S. mathematics education, followed by a summary of rational number concepts through the lens of constructivist learning theory and the author</w:t>
      </w:r>
      <w:r w:rsidR="00F53672">
        <w:rPr>
          <w:rFonts w:ascii="Times New Roman" w:hAnsi="Times New Roman" w:cs="Times New Roman"/>
          <w:sz w:val="24"/>
          <w:szCs w:val="24"/>
        </w:rPr>
        <w:t>’</w:t>
      </w:r>
      <w:r w:rsidRPr="004421BB">
        <w:rPr>
          <w:rFonts w:ascii="Times New Roman" w:hAnsi="Times New Roman" w:cs="Times New Roman"/>
          <w:sz w:val="24"/>
          <w:szCs w:val="24"/>
        </w:rPr>
        <w:t xml:space="preserve">s positionality surrounding these topics. The literature review explores attributes of successful organizations and systems, followed by an analysis of mathematics education in the U.S. as an organizational system, and the evolution of the language of mathematics to its current state. Implications for learning are then considered from the following perspectives: students, teachers, and curricula. </w:t>
      </w:r>
    </w:p>
    <w:p w:rsidR="00556DEB" w:rsidRPr="00225166" w:rsidRDefault="000F31CF">
      <w:pPr>
        <w:pStyle w:val="Body"/>
        <w:spacing w:line="240" w:lineRule="auto"/>
        <w:rPr>
          <w:rFonts w:ascii="Times New Roman" w:eastAsia="Times New Roman" w:hAnsi="Times New Roman" w:cs="Times New Roman"/>
          <w:sz w:val="24"/>
          <w:szCs w:val="24"/>
        </w:rPr>
      </w:pPr>
      <w:r w:rsidRPr="004421BB">
        <w:rPr>
          <w:rFonts w:ascii="Times New Roman" w:hAnsi="Times New Roman" w:cs="Times New Roman"/>
          <w:sz w:val="24"/>
          <w:szCs w:val="24"/>
        </w:rPr>
        <w:t>Considering national and anecdotal data, math learning theory, the rational number domain as a sequential step to algebra, and the physio-cultural evolution of our number system, arguments and strategies for humanizing rational numbers for students are presented. The author hypothesizes that a dual-pronged approach of (a) increasing students</w:t>
      </w:r>
      <w:r w:rsidR="00F53672">
        <w:rPr>
          <w:rFonts w:ascii="Times New Roman" w:hAnsi="Times New Roman" w:cs="Times New Roman"/>
          <w:sz w:val="24"/>
          <w:szCs w:val="24"/>
        </w:rPr>
        <w:t>’</w:t>
      </w:r>
      <w:r w:rsidRPr="004421BB">
        <w:rPr>
          <w:rFonts w:ascii="Times New Roman" w:hAnsi="Times New Roman" w:cs="Times New Roman"/>
          <w:sz w:val="24"/>
          <w:szCs w:val="24"/>
        </w:rPr>
        <w:t xml:space="preserve"> sense of agency and belonging in the math classroom by offering students a way to recognize themselves as successive participants in the global journey of math; and (b) providing base-ten contextualized algorithmic lessons that demystify common operational stumbling blocks within the rational number domain, holds the potential to appease both sides of the systemic math education debate (accessibility vs. rigor) and lay the groundwork for students</w:t>
      </w:r>
      <w:r w:rsidR="00F53672">
        <w:rPr>
          <w:rFonts w:ascii="Times New Roman" w:hAnsi="Times New Roman" w:cs="Times New Roman"/>
          <w:sz w:val="24"/>
          <w:szCs w:val="24"/>
        </w:rPr>
        <w:t>’</w:t>
      </w:r>
      <w:r w:rsidRPr="004421BB">
        <w:rPr>
          <w:rFonts w:ascii="Times New Roman" w:hAnsi="Times New Roman" w:cs="Times New Roman"/>
          <w:sz w:val="24"/>
          <w:szCs w:val="24"/>
        </w:rPr>
        <w:t xml:space="preserve"> future academic opportunities by </w:t>
      </w:r>
    </w:p>
    <w:p w:rsidR="00556DEB" w:rsidRPr="00225166" w:rsidRDefault="000F31CF">
      <w:pPr>
        <w:pStyle w:val="Body"/>
        <w:spacing w:line="240" w:lineRule="auto"/>
        <w:rPr>
          <w:rFonts w:ascii="Times New Roman" w:eastAsia="Times New Roman" w:hAnsi="Times New Roman" w:cs="Times New Roman"/>
        </w:rPr>
      </w:pPr>
      <w:r w:rsidRPr="004421BB">
        <w:rPr>
          <w:rFonts w:ascii="Times New Roman" w:hAnsi="Times New Roman" w:cs="Times New Roman"/>
          <w:sz w:val="24"/>
          <w:szCs w:val="24"/>
        </w:rPr>
        <w:t xml:space="preserve">increasing their math achievement. </w:t>
      </w:r>
    </w:p>
    <w:p w:rsidR="00556DEB" w:rsidRPr="00225166" w:rsidRDefault="00556DEB">
      <w:pPr>
        <w:pStyle w:val="Body"/>
        <w:spacing w:line="240" w:lineRule="auto"/>
        <w:rPr>
          <w:rFonts w:ascii="Times New Roman" w:eastAsia="Times New Roman" w:hAnsi="Times New Roman" w:cs="Times New Roman"/>
          <w:sz w:val="24"/>
          <w:szCs w:val="24"/>
        </w:rPr>
      </w:pPr>
    </w:p>
    <w:p w:rsidR="00556DEB" w:rsidRPr="00225166" w:rsidRDefault="000F31CF">
      <w:pPr>
        <w:pStyle w:val="Body"/>
        <w:spacing w:line="240" w:lineRule="auto"/>
        <w:rPr>
          <w:rFonts w:ascii="Times New Roman" w:eastAsia="Times New Roman" w:hAnsi="Times New Roman" w:cs="Times New Roman"/>
        </w:rPr>
      </w:pPr>
      <w:r w:rsidRPr="004421BB">
        <w:rPr>
          <w:rFonts w:ascii="Times New Roman" w:hAnsi="Times New Roman" w:cs="Times New Roman"/>
          <w:b/>
          <w:bCs/>
          <w:i/>
          <w:iCs/>
          <w:sz w:val="24"/>
          <w:szCs w:val="24"/>
        </w:rPr>
        <w:t>Keywords:</w:t>
      </w:r>
      <w:r w:rsidRPr="004421BB">
        <w:rPr>
          <w:rFonts w:ascii="Times New Roman" w:hAnsi="Times New Roman" w:cs="Times New Roman"/>
          <w:i/>
          <w:iCs/>
          <w:sz w:val="24"/>
          <w:szCs w:val="24"/>
        </w:rPr>
        <w:t xml:space="preserve"> math education, rational numbers, middle school, place value, teacher education</w:t>
      </w: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556DEB" w:rsidRPr="00225166" w:rsidRDefault="00556DEB">
      <w:pPr>
        <w:pStyle w:val="Body"/>
        <w:spacing w:line="240" w:lineRule="auto"/>
        <w:rPr>
          <w:rFonts w:ascii="Times New Roman" w:eastAsia="Times New Roman" w:hAnsi="Times New Roman" w:cs="Times New Roman"/>
          <w:i/>
          <w:iCs/>
          <w:sz w:val="24"/>
          <w:szCs w:val="24"/>
        </w:rPr>
      </w:pPr>
    </w:p>
    <w:p w:rsidR="00556DEB" w:rsidRPr="00225166" w:rsidRDefault="00556DEB">
      <w:pPr>
        <w:pStyle w:val="Body"/>
        <w:spacing w:line="240" w:lineRule="auto"/>
        <w:rPr>
          <w:rFonts w:ascii="Times New Roman" w:eastAsia="Times New Roman" w:hAnsi="Times New Roman" w:cs="Times New Roman"/>
          <w:b/>
          <w:bCs/>
          <w:sz w:val="24"/>
          <w:szCs w:val="24"/>
        </w:rPr>
      </w:pPr>
    </w:p>
    <w:p w:rsidR="007A16AF" w:rsidRPr="004421BB" w:rsidRDefault="007A16AF" w:rsidP="001A25AC">
      <w:pPr>
        <w:pStyle w:val="NoSpacing"/>
        <w:jc w:val="center"/>
      </w:pPr>
    </w:p>
    <w:p w:rsidR="00B7272D" w:rsidRPr="00225166" w:rsidRDefault="000F31CF" w:rsidP="001A25AC">
      <w:pPr>
        <w:pStyle w:val="NoSpacing"/>
        <w:jc w:val="center"/>
        <w:rPr>
          <w:shd w:val="clear" w:color="auto" w:fill="FFFF00"/>
        </w:rPr>
      </w:pPr>
      <w:r w:rsidRPr="004421BB">
        <w:rPr>
          <w:u w:color="000000"/>
          <w14:textOutline w14:w="0" w14:cap="flat" w14:cmpd="sng" w14:algn="ctr">
            <w14:noFill/>
            <w14:prstDash w14:val="solid"/>
            <w14:bevel/>
          </w14:textOutline>
        </w:rPr>
        <w:t>Author Note</w:t>
      </w:r>
    </w:p>
    <w:p w:rsidR="00556DEB" w:rsidRDefault="00B7272D">
      <w:pPr>
        <w:pStyle w:val="Body"/>
        <w:shd w:val="clear" w:color="auto" w:fill="FFFFFF"/>
        <w:spacing w:line="240" w:lineRule="auto"/>
        <w:rPr>
          <w:rFonts w:ascii="Times New Roman" w:hAnsi="Times New Roman" w:cs="Times New Roman"/>
          <w:color w:val="auto"/>
          <w:sz w:val="24"/>
          <w:szCs w:val="24"/>
        </w:rPr>
      </w:pPr>
      <w:r w:rsidRPr="004421BB">
        <w:rPr>
          <w:rFonts w:ascii="Times New Roman" w:hAnsi="Times New Roman" w:cs="Times New Roman"/>
          <w:noProof/>
          <w:color w:val="auto"/>
        </w:rPr>
        <w:drawing>
          <wp:anchor distT="0" distB="0" distL="114300" distR="114300" simplePos="0" relativeHeight="251661312" behindDoc="0" locked="0" layoutInCell="1" allowOverlap="1" wp14:anchorId="7483F068" wp14:editId="37C81CB2">
            <wp:simplePos x="0" y="0"/>
            <wp:positionH relativeFrom="column">
              <wp:posOffset>873760</wp:posOffset>
            </wp:positionH>
            <wp:positionV relativeFrom="paragraph">
              <wp:posOffset>16510</wp:posOffset>
            </wp:positionV>
            <wp:extent cx="139700" cy="139700"/>
            <wp:effectExtent l="0" t="0" r="0" b="0"/>
            <wp:wrapNone/>
            <wp:docPr id="1" name="Picture 1" descr="A green circle with white letter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4610" name="Picture 1" descr="A green circle with white letters&#10;&#10;Description automatically generate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pic:spPr>
                </pic:pic>
              </a:graphicData>
            </a:graphic>
            <wp14:sizeRelH relativeFrom="margin">
              <wp14:pctWidth>0</wp14:pctWidth>
            </wp14:sizeRelH>
            <wp14:sizeRelV relativeFrom="margin">
              <wp14:pctHeight>0</wp14:pctHeight>
            </wp14:sizeRelV>
          </wp:anchor>
        </w:drawing>
      </w:r>
      <w:r w:rsidR="000F31CF" w:rsidRPr="004421BB">
        <w:rPr>
          <w:rFonts w:ascii="Times New Roman" w:hAnsi="Times New Roman" w:cs="Times New Roman"/>
          <w:color w:val="auto"/>
          <w:sz w:val="24"/>
          <w:szCs w:val="24"/>
        </w:rPr>
        <w:t>Connor Desai</w:t>
      </w:r>
      <w:r w:rsidRPr="00225166">
        <w:rPr>
          <w:rFonts w:ascii="Times New Roman" w:hAnsi="Times New Roman" w:cs="Times New Roman"/>
          <w:color w:val="auto"/>
          <w:sz w:val="24"/>
          <w:szCs w:val="24"/>
        </w:rPr>
        <w:t xml:space="preserve">     </w:t>
      </w:r>
      <w:hyperlink r:id="rId8" w:history="1">
        <w:r w:rsidR="00D828AC" w:rsidRPr="00BA3227">
          <w:rPr>
            <w:rStyle w:val="Hyperlink"/>
            <w:rFonts w:ascii="Times New Roman" w:hAnsi="Times New Roman" w:cs="Times New Roman"/>
            <w:sz w:val="24"/>
            <w:szCs w:val="24"/>
          </w:rPr>
          <w:t>https://orcid.org/0009-0007-3220-4576</w:t>
        </w:r>
      </w:hyperlink>
      <w:r w:rsidR="00D828AC">
        <w:rPr>
          <w:rFonts w:ascii="Times New Roman" w:hAnsi="Times New Roman" w:cs="Times New Roman"/>
          <w:color w:val="auto"/>
          <w:sz w:val="24"/>
          <w:szCs w:val="24"/>
        </w:rPr>
        <w:t xml:space="preserve"> </w:t>
      </w:r>
    </w:p>
    <w:p w:rsidR="00D828AC" w:rsidRPr="004421BB" w:rsidRDefault="00D828AC">
      <w:pPr>
        <w:pStyle w:val="Body"/>
        <w:shd w:val="clear" w:color="auto" w:fill="FFFFFF"/>
        <w:spacing w:line="240" w:lineRule="auto"/>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No known conflict of interest to disclose. </w:t>
      </w:r>
    </w:p>
    <w:p w:rsidR="00556DEB" w:rsidRPr="00225166" w:rsidRDefault="000F31CF">
      <w:pPr>
        <w:pStyle w:val="Body"/>
        <w:spacing w:line="240" w:lineRule="auto"/>
        <w:rPr>
          <w:rFonts w:ascii="Times New Roman" w:eastAsia="Times New Roman" w:hAnsi="Times New Roman" w:cs="Times New Roman"/>
          <w:sz w:val="24"/>
          <w:szCs w:val="24"/>
        </w:rPr>
      </w:pPr>
      <w:r w:rsidRPr="00225166">
        <w:rPr>
          <w:rFonts w:ascii="Times New Roman" w:hAnsi="Times New Roman" w:cs="Times New Roman"/>
          <w:sz w:val="24"/>
          <w:szCs w:val="24"/>
        </w:rPr>
        <w:t xml:space="preserve">Anecdotal data in this article originates from the </w:t>
      </w:r>
      <w:r w:rsidR="00F53672" w:rsidRPr="00225166">
        <w:rPr>
          <w:rFonts w:ascii="Times New Roman" w:hAnsi="Times New Roman" w:cs="Times New Roman"/>
          <w:sz w:val="24"/>
          <w:szCs w:val="24"/>
        </w:rPr>
        <w:t>author</w:t>
      </w:r>
      <w:r w:rsidR="00F53672">
        <w:rPr>
          <w:rFonts w:ascii="Times New Roman" w:hAnsi="Times New Roman" w:cs="Times New Roman"/>
          <w:sz w:val="24"/>
          <w:szCs w:val="24"/>
        </w:rPr>
        <w:t>’</w:t>
      </w:r>
      <w:r w:rsidR="00F53672" w:rsidRPr="00225166">
        <w:rPr>
          <w:rFonts w:ascii="Times New Roman" w:hAnsi="Times New Roman" w:cs="Times New Roman"/>
          <w:sz w:val="24"/>
          <w:szCs w:val="24"/>
        </w:rPr>
        <w:t xml:space="preserve">s </w:t>
      </w:r>
      <w:r w:rsidRPr="00225166">
        <w:rPr>
          <w:rFonts w:ascii="Times New Roman" w:hAnsi="Times New Roman" w:cs="Times New Roman"/>
          <w:sz w:val="24"/>
          <w:szCs w:val="24"/>
        </w:rPr>
        <w:t>employment as a middle school math teacher at Our Lady of Fatima Parish School in Seattle, WA, from 2017 to the present. Correspondence concerning this article should be addressed to Connor Desai at the Graduate School of Education at Seattle Pacific University: desaic@spu.edu.</w:t>
      </w:r>
    </w:p>
    <w:p w:rsidR="00556DEB" w:rsidRPr="004421BB" w:rsidRDefault="00556DEB">
      <w:pPr>
        <w:pStyle w:val="Body"/>
        <w:rPr>
          <w:rFonts w:ascii="Times New Roman" w:hAnsi="Times New Roman" w:cs="Times New Roman"/>
        </w:rPr>
      </w:pPr>
    </w:p>
    <w:p w:rsidR="00556DEB" w:rsidRPr="00225166" w:rsidRDefault="000F31CF">
      <w:pPr>
        <w:pStyle w:val="Body"/>
        <w:spacing w:line="480" w:lineRule="auto"/>
        <w:jc w:val="center"/>
        <w:rPr>
          <w:rFonts w:ascii="Times New Roman" w:eastAsia="Times New Roman" w:hAnsi="Times New Roman" w:cs="Times New Roman"/>
          <w:b/>
          <w:bCs/>
          <w:sz w:val="24"/>
          <w:szCs w:val="24"/>
        </w:rPr>
      </w:pPr>
      <w:r w:rsidRPr="00225166">
        <w:rPr>
          <w:rFonts w:ascii="Times New Roman" w:hAnsi="Times New Roman" w:cs="Times New Roman"/>
          <w:b/>
          <w:bCs/>
          <w:sz w:val="24"/>
          <w:szCs w:val="24"/>
        </w:rPr>
        <w:lastRenderedPageBreak/>
        <w:t>Humanizing Rational Numbers in Middle School</w:t>
      </w:r>
    </w:p>
    <w:p w:rsidR="00556DEB" w:rsidRPr="00225166" w:rsidRDefault="000F31CF">
      <w:pPr>
        <w:pStyle w:val="Body"/>
        <w:spacing w:line="480" w:lineRule="auto"/>
        <w:jc w:val="center"/>
        <w:rPr>
          <w:rFonts w:ascii="Times New Roman" w:eastAsia="Times New Roman" w:hAnsi="Times New Roman" w:cs="Times New Roman"/>
          <w:b/>
          <w:bCs/>
          <w:sz w:val="24"/>
          <w:szCs w:val="24"/>
        </w:rPr>
      </w:pPr>
      <w:r w:rsidRPr="004421BB">
        <w:rPr>
          <w:rFonts w:ascii="Times New Roman" w:hAnsi="Times New Roman" w:cs="Times New Roman"/>
          <w:b/>
          <w:bCs/>
          <w:sz w:val="24"/>
          <w:szCs w:val="24"/>
          <w:lang w:val="fr-FR"/>
        </w:rPr>
        <w:t>Introduction</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Several studies identify success in algebra as the gateway to higher Education, progression in STEM (science, technology, engineering, and math) fields, and even economic opportunity (Darling, 2010; Miller &amp; Kimmel, 2012). It is not an exaggeration to say that algebra marks a watershed moment in the life of a student. It is impossible to advance in mathematics without it. However, according to the Mathematical Association of America, each year, roughly 50 percent of students fail to pass college algebra with a grade of “C” or better</w:t>
      </w:r>
      <w:r w:rsidR="004421BB">
        <w:rPr>
          <w:rFonts w:ascii="Times New Roman" w:hAnsi="Times New Roman" w:cs="Times New Roman"/>
          <w:sz w:val="24"/>
          <w:szCs w:val="24"/>
        </w:rPr>
        <w:t xml:space="preserve"> (Liston &amp; Getz, 2019). </w:t>
      </w:r>
      <w:r w:rsidRPr="00225166">
        <w:rPr>
          <w:rFonts w:ascii="Times New Roman" w:hAnsi="Times New Roman" w:cs="Times New Roman"/>
          <w:sz w:val="24"/>
          <w:szCs w:val="24"/>
        </w:rPr>
        <w:t>Similar to most systemic dysfunctions, by the time problems arise, the issues have been present for some time. Troubling statistics plague the nation's K-8 schools. For example, standardized math assessment data from 2019 indicate a null change from 2017 and “</w:t>
      </w:r>
      <w:proofErr w:type="spellStart"/>
      <w:r w:rsidRPr="00225166">
        <w:rPr>
          <w:rFonts w:ascii="Times New Roman" w:hAnsi="Times New Roman" w:cs="Times New Roman"/>
          <w:sz w:val="24"/>
          <w:szCs w:val="24"/>
          <w:lang w:val="es-ES_tradnl"/>
        </w:rPr>
        <w:t>proficient</w:t>
      </w:r>
      <w:proofErr w:type="spellEnd"/>
      <w:r w:rsidRPr="004421BB">
        <w:rPr>
          <w:rFonts w:ascii="Times New Roman" w:hAnsi="Times New Roman" w:cs="Times New Roman"/>
          <w:sz w:val="24"/>
          <w:szCs w:val="24"/>
        </w:rPr>
        <w:t>” scores for only 41% of fourth graders and 34% of eighth graders (</w:t>
      </w:r>
      <w:r w:rsidRPr="001A25AC">
        <w:rPr>
          <w:rFonts w:ascii="Times New Roman" w:hAnsi="Times New Roman" w:cs="Times New Roman"/>
          <w:sz w:val="24"/>
          <w:szCs w:val="24"/>
        </w:rPr>
        <w:t>National Center for Education Statistics, 2019</w:t>
      </w:r>
      <w:r w:rsidRPr="00225166">
        <w:rPr>
          <w:rFonts w:ascii="Times New Roman" w:hAnsi="Times New Roman" w:cs="Times New Roman"/>
          <w:sz w:val="24"/>
          <w:szCs w:val="24"/>
        </w:rPr>
        <w:t>). This downward trending effect was compounded in subsequent data by pandemic-era learning (National Assessment of Educational Progress (NAEP), 2022). Costly ed-tech in</w:t>
      </w:r>
      <w:r w:rsidRPr="004421BB">
        <w:rPr>
          <w:rFonts w:ascii="Times New Roman" w:hAnsi="Times New Roman" w:cs="Times New Roman"/>
          <w:sz w:val="24"/>
          <w:szCs w:val="24"/>
        </w:rPr>
        <w:t>terventions and ambitious reform proposals have yielded little fruit (</w:t>
      </w:r>
      <w:proofErr w:type="spellStart"/>
      <w:r w:rsidRPr="004421BB">
        <w:rPr>
          <w:rFonts w:ascii="Times New Roman" w:hAnsi="Times New Roman" w:cs="Times New Roman"/>
          <w:sz w:val="24"/>
          <w:szCs w:val="24"/>
        </w:rPr>
        <w:t>Doroudi</w:t>
      </w:r>
      <w:proofErr w:type="spellEnd"/>
      <w:r w:rsidRPr="004421BB">
        <w:rPr>
          <w:rFonts w:ascii="Times New Roman" w:hAnsi="Times New Roman" w:cs="Times New Roman"/>
          <w:sz w:val="24"/>
          <w:szCs w:val="24"/>
        </w:rPr>
        <w:t xml:space="preserve"> et al., 2019; Knee, 2016).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Algebra represents a shift from quantifying the known world to quantifying a realm of possible worlds. It repurposes every operational component in the vast web of the base ten universe fo</w:t>
      </w:r>
      <w:r w:rsidRPr="001A25AC">
        <w:rPr>
          <w:rFonts w:ascii="Times New Roman" w:hAnsi="Times New Roman" w:cs="Times New Roman"/>
          <w:sz w:val="24"/>
          <w:szCs w:val="24"/>
        </w:rPr>
        <w:t xml:space="preserve">r a whole new machine, one that is adaptable and predictive rather than discrete. Algebraic math is base ten math version 2.0. The domain that precedes algebraic numbers is rational numbers. Rational numbers build on </w:t>
      </w:r>
      <w:r w:rsidR="00F53672" w:rsidRPr="001A25AC">
        <w:rPr>
          <w:rFonts w:ascii="Times New Roman" w:hAnsi="Times New Roman" w:cs="Times New Roman"/>
          <w:sz w:val="24"/>
          <w:szCs w:val="24"/>
        </w:rPr>
        <w:t>students</w:t>
      </w:r>
      <w:r w:rsidR="00F53672">
        <w:rPr>
          <w:rFonts w:ascii="Times New Roman" w:hAnsi="Times New Roman" w:cs="Times New Roman"/>
          <w:sz w:val="24"/>
          <w:szCs w:val="24"/>
        </w:rPr>
        <w:t>’</w:t>
      </w:r>
      <w:r w:rsidR="00F53672" w:rsidRPr="001A25AC">
        <w:rPr>
          <w:rFonts w:ascii="Times New Roman" w:hAnsi="Times New Roman" w:cs="Times New Roman"/>
          <w:sz w:val="24"/>
          <w:szCs w:val="24"/>
        </w:rPr>
        <w:t xml:space="preserve"> </w:t>
      </w:r>
      <w:r w:rsidRPr="001A25AC">
        <w:rPr>
          <w:rFonts w:ascii="Times New Roman" w:hAnsi="Times New Roman" w:cs="Times New Roman"/>
          <w:sz w:val="24"/>
          <w:szCs w:val="24"/>
        </w:rPr>
        <w:t>prior learning of whole numbers to allow them to think in terms of ratio or one whole number compared to another whole number. The term “</w:t>
      </w:r>
      <w:r w:rsidRPr="001A25AC">
        <w:rPr>
          <w:rFonts w:ascii="Times New Roman" w:hAnsi="Times New Roman" w:cs="Times New Roman"/>
          <w:sz w:val="24"/>
          <w:szCs w:val="24"/>
          <w:lang w:val="fr-FR"/>
        </w:rPr>
        <w:t>ratio</w:t>
      </w:r>
      <w:r w:rsidRPr="001A25AC">
        <w:rPr>
          <w:rFonts w:ascii="Times New Roman" w:hAnsi="Times New Roman" w:cs="Times New Roman"/>
          <w:sz w:val="24"/>
          <w:szCs w:val="24"/>
        </w:rPr>
        <w:t xml:space="preserve">” refers to the quantitative relationship between two values, showing how many times </w:t>
      </w:r>
      <w:r w:rsidRPr="001A25AC">
        <w:rPr>
          <w:rFonts w:ascii="Times New Roman" w:hAnsi="Times New Roman" w:cs="Times New Roman"/>
          <w:sz w:val="24"/>
          <w:szCs w:val="24"/>
        </w:rPr>
        <w:lastRenderedPageBreak/>
        <w:t xml:space="preserve">one value contains or is contained within the other. (Simpson, 2002). Rational numbers are defined by their ability to be written in </w:t>
      </w:r>
      <w:r w:rsidRPr="001A25AC">
        <w:rPr>
          <w:rFonts w:ascii="Times New Roman" w:hAnsi="Times New Roman" w:cs="Times New Roman"/>
          <w:i/>
          <w:iCs/>
          <w:sz w:val="24"/>
          <w:szCs w:val="24"/>
          <w:lang w:val="fr-FR"/>
        </w:rPr>
        <w:t>ratio</w:t>
      </w:r>
      <w:r w:rsidRPr="001A25AC">
        <w:rPr>
          <w:rFonts w:ascii="Times New Roman" w:hAnsi="Times New Roman" w:cs="Times New Roman"/>
          <w:sz w:val="24"/>
          <w:szCs w:val="24"/>
        </w:rPr>
        <w:t>, i.e., fraction form. The rational number domain encompasses most number concepts and operations that do not involve variables. These concepts can include but are not limited to fractions, decimals, percents, rates, ratios, unit conversions, exponents (squares and cubes), square roots and cube roots, scientific notation, and all four number operations within these concepts.</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The idea that changing one or the other number within a ratio changes its overall quantitative value is a logical and necessary stepping stone to algebraic functions, where the input value or independent variable determines the output value or dependen</w:t>
      </w:r>
      <w:r w:rsidRPr="001A25AC">
        <w:rPr>
          <w:rFonts w:ascii="Times New Roman" w:hAnsi="Times New Roman" w:cs="Times New Roman"/>
          <w:sz w:val="24"/>
          <w:szCs w:val="24"/>
        </w:rPr>
        <w:t>t variable. Put another way, rational numbers represent a student’s first function, where the number of times one value contains the other determines its overall output value.</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 Rational numbers are usually introduced in third grade with fractions and studied almost exclusively by the time students reach sixth grade. While many reforms have focused their attention on algebra, owing to its academic gateway status, the reality is t</w:t>
      </w:r>
      <w:r w:rsidRPr="001A25AC">
        <w:rPr>
          <w:rFonts w:ascii="Times New Roman" w:hAnsi="Times New Roman" w:cs="Times New Roman"/>
          <w:sz w:val="24"/>
          <w:szCs w:val="24"/>
        </w:rPr>
        <w:t>hat students without a solid understanding of rational numbers will not be able to successfully transition to algebraic number sense, regardless of the robustness of the algebra-based intervention. Therefore, middle school math education represents the cornerstone of a K-12 student’s math journey because rational number sense is solidified in middle school.</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While several learning theories are referenced throughout this paper, middle school students’ knowledge of and fluency with rational numbers is primaril</w:t>
      </w:r>
      <w:r w:rsidRPr="001A25AC">
        <w:rPr>
          <w:rFonts w:ascii="Times New Roman" w:hAnsi="Times New Roman" w:cs="Times New Roman"/>
          <w:sz w:val="24"/>
          <w:szCs w:val="24"/>
        </w:rPr>
        <w:t>y explored through a constructivist framework. Constructivism is the belief that groups construct knowledge with and for one another, including a shared culture with shared artifacts imbued with meaning (</w:t>
      </w:r>
      <w:proofErr w:type="spellStart"/>
      <w:r w:rsidRPr="001A25AC">
        <w:rPr>
          <w:rFonts w:ascii="Times New Roman" w:hAnsi="Times New Roman" w:cs="Times New Roman"/>
          <w:sz w:val="24"/>
          <w:szCs w:val="24"/>
        </w:rPr>
        <w:t>Ertmer</w:t>
      </w:r>
      <w:proofErr w:type="spellEnd"/>
      <w:r w:rsidRPr="001A25AC">
        <w:rPr>
          <w:rFonts w:ascii="Times New Roman" w:hAnsi="Times New Roman" w:cs="Times New Roman"/>
          <w:sz w:val="24"/>
          <w:szCs w:val="24"/>
        </w:rPr>
        <w:t xml:space="preserve"> &amp; Newby, 2013). Our number system represents the single most shared cultural artifact the globe </w:t>
      </w:r>
      <w:r w:rsidRPr="001A25AC">
        <w:rPr>
          <w:rFonts w:ascii="Times New Roman" w:hAnsi="Times New Roman" w:cs="Times New Roman"/>
          <w:sz w:val="24"/>
          <w:szCs w:val="24"/>
        </w:rPr>
        <w:lastRenderedPageBreak/>
        <w:t>has ever produced, yet most math curricula ignore this potentially humanizing feature. Constructivism further contends that new information is “constructed” in the mind, requiring learners to retrieve prior information in the process.</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Civil rights leader and activist Angela Davis said, "Radical simply means 'grasping things at the root'" (Davis, 1984, p. 14). Whether Davis intended it or not, this quotation has mathematical and social connotations. For example, the radical symbol in the </w:t>
      </w:r>
      <w:r w:rsidRPr="00272B77">
        <w:rPr>
          <w:rFonts w:ascii="Times New Roman" w:hAnsi="Times New Roman" w:cs="Times New Roman"/>
          <w:sz w:val="24"/>
          <w:szCs w:val="24"/>
        </w:rPr>
        <w:t xml:space="preserve">problem </w:t>
      </w:r>
      <m:oMath>
        <m:rad>
          <m:radPr>
            <m:degHide m:val="1"/>
            <m:ctrlPr>
              <w:rPr>
                <w:rFonts w:ascii="Cambria Math" w:hAnsi="Cambria Math" w:cs="Times New Roman"/>
                <w:i/>
                <w:sz w:val="24"/>
                <w:szCs w:val="24"/>
              </w:rPr>
            </m:ctrlPr>
          </m:radPr>
          <m:deg/>
          <m:e>
            <m:r>
              <w:rPr>
                <w:rFonts w:ascii="Cambria Math" w:hAnsi="Cambria Math" w:cs="Times New Roman"/>
                <w:sz w:val="24"/>
                <w:szCs w:val="24"/>
              </w:rPr>
              <m:t>64</m:t>
            </m:r>
          </m:e>
        </m:rad>
      </m:oMath>
      <w:r w:rsidRPr="00225166">
        <w:rPr>
          <w:rFonts w:ascii="Times New Roman" w:hAnsi="Times New Roman" w:cs="Times New Roman"/>
          <w:sz w:val="24"/>
          <w:szCs w:val="24"/>
        </w:rPr>
        <w:t xml:space="preserve"> asks the student, </w:t>
      </w:r>
      <w:r w:rsidRPr="00225166">
        <w:rPr>
          <w:rFonts w:ascii="Times New Roman" w:hAnsi="Times New Roman" w:cs="Times New Roman"/>
          <w:i/>
          <w:iCs/>
          <w:sz w:val="24"/>
          <w:szCs w:val="24"/>
        </w:rPr>
        <w:t xml:space="preserve">what is the one number </w:t>
      </w:r>
      <w:r w:rsidRPr="00225166">
        <w:rPr>
          <w:rFonts w:ascii="Times New Roman" w:hAnsi="Times New Roman" w:cs="Times New Roman"/>
          <w:sz w:val="24"/>
          <w:szCs w:val="24"/>
        </w:rPr>
        <w:t>(the root)</w:t>
      </w:r>
      <w:r w:rsidRPr="004421BB">
        <w:rPr>
          <w:rFonts w:ascii="Times New Roman" w:hAnsi="Times New Roman" w:cs="Times New Roman"/>
          <w:i/>
          <w:iCs/>
          <w:sz w:val="24"/>
          <w:szCs w:val="24"/>
        </w:rPr>
        <w:t xml:space="preserve"> needed to grow a square of 64?</w:t>
      </w:r>
      <w:r w:rsidRPr="004421BB">
        <w:rPr>
          <w:rFonts w:ascii="Times New Roman" w:hAnsi="Times New Roman" w:cs="Times New Roman"/>
          <w:sz w:val="24"/>
          <w:szCs w:val="24"/>
        </w:rPr>
        <w:t xml:space="preserve"> A wealth of information must precede this problem to truly grasp its meaning, symbolically and conceptually, and to know that a dim</w:t>
      </w:r>
      <w:r w:rsidRPr="001A25AC">
        <w:rPr>
          <w:rFonts w:ascii="Times New Roman" w:hAnsi="Times New Roman" w:cs="Times New Roman"/>
          <w:sz w:val="24"/>
          <w:szCs w:val="24"/>
        </w:rPr>
        <w:t xml:space="preserve">ension of eight (by another dimension of eight) grows a square of 64.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The implication of Davis' statement can and should also be applied to math. The tyranny of the present often dictates that teachers focus on upcoming tests and standardized assessments </w:t>
      </w:r>
      <w:r w:rsidRPr="001A25AC">
        <w:rPr>
          <w:rFonts w:ascii="Times New Roman" w:hAnsi="Times New Roman" w:cs="Times New Roman"/>
          <w:sz w:val="24"/>
          <w:szCs w:val="24"/>
        </w:rPr>
        <w:t xml:space="preserve">through algorithmic practice siloed in grade bands. However, math is sequential. New skills are constructed on the foundation of prior concepts and skills. If students are to truly take ownership of mathematics, they must be encouraged to grasp it at the root, not just once but as a continual practice.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Many of the theories in this paper originate from questions that date back to 2013. That was the year my daughter started middle school, and her math scores plummeted. Usually a great student, neither of us </w:t>
      </w:r>
      <w:r w:rsidRPr="001A25AC">
        <w:rPr>
          <w:rFonts w:ascii="Times New Roman" w:hAnsi="Times New Roman" w:cs="Times New Roman"/>
          <w:sz w:val="24"/>
          <w:szCs w:val="24"/>
        </w:rPr>
        <w:t xml:space="preserve">could identify precisely how it started. Slowly, she stopped raising her hand and turned her focus toward subjects that seemed more hospitable. I recognized the forces that were quietly but firmly ushering my daughter away from math because they had done the same to me when I was her age. Despite a love for numbers, patterns, and art as an elementary student, by the time I reached my college counselor's office, I was choosing the least rigorous courses </w:t>
      </w:r>
      <w:r w:rsidRPr="001A25AC">
        <w:rPr>
          <w:rFonts w:ascii="Times New Roman" w:hAnsi="Times New Roman" w:cs="Times New Roman"/>
          <w:sz w:val="24"/>
          <w:szCs w:val="24"/>
        </w:rPr>
        <w:lastRenderedPageBreak/>
        <w:t xml:space="preserve">that would satisfy my B.A. degree math credit requirements. It was disheartening to realize that the intervening years had produced few if any, additional means of accessibility.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Given this historical context, I was not interested in reviewing algorithms that would help my daughter get through the next set of</w:t>
      </w:r>
      <w:r w:rsidRPr="001A25AC">
        <w:rPr>
          <w:rFonts w:ascii="Times New Roman" w:hAnsi="Times New Roman" w:cs="Times New Roman"/>
          <w:sz w:val="24"/>
          <w:szCs w:val="24"/>
        </w:rPr>
        <w:t xml:space="preserve"> homework problems. I recognized that she had lost her footing in math in a more holistic sense, and my goal was to help her regain it in the long run. Not knowing where to start, I sought the beginning. The beginning of math. That was the day it dawned on me: I was subconsciously laboring under a lifelong assumption that math predated humans. Math seemed intrinsically divine, abstractly mystical. Throughout my academic life, I experienced math as a code that was there for the taking if only I were smart enough to "get it."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Of course, numbers—the values and movements inherent to the cosmos—predate humans, but the language of math does not. It was forged by ancient cultures all over the world, born out of a basic human drive to explore and communicate (Howe,</w:t>
      </w:r>
      <w:r w:rsidRPr="001A25AC">
        <w:rPr>
          <w:rFonts w:ascii="Times New Roman" w:hAnsi="Times New Roman" w:cs="Times New Roman"/>
          <w:sz w:val="24"/>
          <w:szCs w:val="24"/>
        </w:rPr>
        <w:t xml:space="preserve"> 2018; O'Connor &amp; Robertson, 2000; Smith &amp; Ginsburg, 1937; Yong &amp; Se, 2004). Over a decade and hundreds of middle school math students later, Davis’ epithet still hangs on my classroom wall.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From my perspective as a middle and graduate school classroom teacher, I intend to show how the multiple systems that govern rational number study in the U.S., from the conflicting stances of Higher Education to pedagogical shortcuts, are counterproductive to teacher preparation and learning acquisition, respectively. </w:t>
      </w:r>
      <w:r w:rsidRPr="001A25AC">
        <w:rPr>
          <w:rFonts w:ascii="Times New Roman" w:hAnsi="Times New Roman" w:cs="Times New Roman"/>
          <w:sz w:val="24"/>
          <w:szCs w:val="24"/>
        </w:rPr>
        <w:t>I propose that the best way forward is to go back to the source, to how the language of math was constructed in the first place, and to the foundation of that language, the base ten place value chart.</w:t>
      </w:r>
    </w:p>
    <w:p w:rsidR="00556DEB" w:rsidRPr="004421BB" w:rsidRDefault="000F31CF">
      <w:pPr>
        <w:pStyle w:val="Body"/>
        <w:spacing w:line="480" w:lineRule="auto"/>
        <w:jc w:val="center"/>
        <w:rPr>
          <w:rFonts w:ascii="Times New Roman" w:eastAsia="Times New Roman" w:hAnsi="Times New Roman" w:cs="Times New Roman"/>
          <w:b/>
          <w:bCs/>
          <w:sz w:val="24"/>
          <w:szCs w:val="24"/>
        </w:rPr>
      </w:pPr>
      <w:r w:rsidRPr="004421BB">
        <w:rPr>
          <w:rFonts w:ascii="Times New Roman" w:hAnsi="Times New Roman" w:cs="Times New Roman"/>
          <w:b/>
          <w:bCs/>
          <w:sz w:val="24"/>
          <w:szCs w:val="24"/>
        </w:rPr>
        <w:t>Literature Review</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lastRenderedPageBreak/>
        <w:t xml:space="preserve">This literature review aims to give an overview of the research regarding successful organizations and systems, math education in the U.S. as an organizational system, and the language of math as it was organized by humankind. </w:t>
      </w:r>
    </w:p>
    <w:p w:rsidR="00556DEB" w:rsidRPr="00225166" w:rsidRDefault="000F31CF">
      <w:pPr>
        <w:pStyle w:val="Body"/>
        <w:tabs>
          <w:tab w:val="center" w:pos="4680"/>
        </w:tabs>
        <w:spacing w:line="480" w:lineRule="auto"/>
        <w:rPr>
          <w:rFonts w:ascii="Times New Roman" w:eastAsia="Times New Roman" w:hAnsi="Times New Roman" w:cs="Times New Roman"/>
          <w:b/>
          <w:bCs/>
          <w:sz w:val="24"/>
          <w:szCs w:val="24"/>
        </w:rPr>
      </w:pPr>
      <w:r w:rsidRPr="004421BB">
        <w:rPr>
          <w:rFonts w:ascii="Times New Roman" w:hAnsi="Times New Roman" w:cs="Times New Roman"/>
          <w:b/>
          <w:bCs/>
          <w:sz w:val="24"/>
          <w:szCs w:val="24"/>
        </w:rPr>
        <w:t>Successful Systems and Organizations</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There is a wealth of evidence to support the idea that the most successful systems and organizations (regardless of their size or area of focus) are the ones that can straddle and equally value paradoxical elements such as individuality and corpor</w:t>
      </w:r>
      <w:r w:rsidRPr="001A25AC">
        <w:rPr>
          <w:rFonts w:ascii="Times New Roman" w:hAnsi="Times New Roman" w:cs="Times New Roman"/>
          <w:sz w:val="24"/>
          <w:szCs w:val="24"/>
        </w:rPr>
        <w:t xml:space="preserve">ation, innovation and specialization, and myth and fact (Argyris, 1957; Barnes et al., 2013; Bolman &amp; Deal, 2013; </w:t>
      </w:r>
      <w:bookmarkStart w:id="0" w:name="_GoBack"/>
      <w:r w:rsidRPr="001A25AC">
        <w:rPr>
          <w:rFonts w:ascii="Times New Roman" w:hAnsi="Times New Roman" w:cs="Times New Roman"/>
          <w:sz w:val="24"/>
          <w:szCs w:val="24"/>
        </w:rPr>
        <w:t>Pugh</w:t>
      </w:r>
      <w:bookmarkEnd w:id="0"/>
      <w:r w:rsidRPr="001A25AC">
        <w:rPr>
          <w:rFonts w:ascii="Times New Roman" w:hAnsi="Times New Roman" w:cs="Times New Roman"/>
          <w:sz w:val="24"/>
          <w:szCs w:val="24"/>
        </w:rPr>
        <w:t xml:space="preserve">, 1971).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One observable hallmark of ineffectual organizations is that no effort is made to merge the individual and organizational proces</w:t>
      </w:r>
      <w:r w:rsidRPr="001A25AC">
        <w:rPr>
          <w:rFonts w:ascii="Times New Roman" w:hAnsi="Times New Roman" w:cs="Times New Roman"/>
          <w:sz w:val="24"/>
          <w:szCs w:val="24"/>
        </w:rPr>
        <w:t xml:space="preserve">ses involved in self-actualization (Barnes et al., 2013). Individual self-actualization and corporate self-actualization, and the erroneous sacrifice of the former for the sake of the latter, are characterized as being consistently devoted to maximizing human potential for the sake of the organization (Argyris, 1957). When self-actualization is sacrificed, personal motivation wanes, and productivity follows.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A similar effect is produced when specialization is favored over innovation. While people may initi</w:t>
      </w:r>
      <w:r w:rsidRPr="001A25AC">
        <w:rPr>
          <w:rFonts w:ascii="Times New Roman" w:hAnsi="Times New Roman" w:cs="Times New Roman"/>
          <w:sz w:val="24"/>
          <w:szCs w:val="24"/>
        </w:rPr>
        <w:t>ally appreciate the gratification involved in specialized roles, eventually, as the work becomes more rote or routine, motivation is lost. Well-intentioned but ultimately anti-innovative advice like “fit the man to the job and the job to the man” created situations where workers lost a sense of connection to their jobs in terms of interest and satisfaction (Pugh, 1971).</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While few would doubt the importance of dealing with facts within organizations, a landmark study conducted over 50 years ago discovered th</w:t>
      </w:r>
      <w:r w:rsidRPr="001A25AC">
        <w:rPr>
          <w:rFonts w:ascii="Times New Roman" w:hAnsi="Times New Roman" w:cs="Times New Roman"/>
          <w:sz w:val="24"/>
          <w:szCs w:val="24"/>
        </w:rPr>
        <w:t xml:space="preserve">e importance of shared ritual, mythology, and symbolic meaning within organizations through the role of religion. Religion, in this case, Catholicism, created more systemic commonalities in companies across differently </w:t>
      </w:r>
      <w:r w:rsidRPr="001A25AC">
        <w:rPr>
          <w:rFonts w:ascii="Times New Roman" w:hAnsi="Times New Roman" w:cs="Times New Roman"/>
          <w:sz w:val="24"/>
          <w:szCs w:val="24"/>
        </w:rPr>
        <w:lastRenderedPageBreak/>
        <w:t xml:space="preserve">industrialized countries than between companies in similarly industrialized countries without a shared religion (Pugh, 1971). Shared myths are foundational elements of human culture, fostering a sense of belonging and identity within communities. They provide a framework for understanding the world and shaping collective values, beliefs, and behaviors. Myths and symbols are essential for societies to transmit knowledge, preserve traditions, and reinforce social cohesion across generations (Bolman &amp; Deal, 2013). This research suggests that within any human-driven system, symbolic and mythic elements are as crucial as literal and factual ones.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Compounding the issue of instilling paradoxical elements into systems and organizations is the human tendency to view problems as frame-bound rather than </w:t>
      </w:r>
      <w:r w:rsidRPr="001A25AC">
        <w:rPr>
          <w:rFonts w:ascii="Times New Roman" w:hAnsi="Times New Roman" w:cs="Times New Roman"/>
          <w:sz w:val="24"/>
          <w:szCs w:val="24"/>
        </w:rPr>
        <w:t xml:space="preserve">reality-bound. Bolman and Deal (2013) assert that many of us passively acquiesce to solutions to problems as they are presented, thus seldom encountering opportunities to discern the degree to which our preferences are constrained by framing rather than grounded in reality. True organizational success requires the continual infusion and balance of opposing forces, yet we are often presented with evidence that compels us to delegitimize one or the other force. Frame-bound solutions that seek to eliminate a crucial, opposing force will only perpetuate the cycle of dysfunction. </w:t>
      </w:r>
    </w:p>
    <w:p w:rsidR="00556DEB" w:rsidRPr="00225166" w:rsidRDefault="000F31CF">
      <w:pPr>
        <w:pStyle w:val="Body"/>
        <w:spacing w:line="480" w:lineRule="auto"/>
        <w:rPr>
          <w:rFonts w:ascii="Times New Roman" w:eastAsia="Times New Roman" w:hAnsi="Times New Roman" w:cs="Times New Roman"/>
          <w:b/>
          <w:bCs/>
          <w:sz w:val="24"/>
          <w:szCs w:val="24"/>
        </w:rPr>
      </w:pPr>
      <w:r w:rsidRPr="004421BB">
        <w:rPr>
          <w:rFonts w:ascii="Times New Roman" w:hAnsi="Times New Roman" w:cs="Times New Roman"/>
          <w:b/>
          <w:bCs/>
          <w:sz w:val="24"/>
          <w:szCs w:val="24"/>
        </w:rPr>
        <w:t xml:space="preserve">Math Education in the U.S.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The U.S. math instruction as an organizational system has been mired in a frame-bound, opposing force-eliminating cycle. For the sake of simplicity, I will c</w:t>
      </w:r>
      <w:r w:rsidRPr="001A25AC">
        <w:rPr>
          <w:rFonts w:ascii="Times New Roman" w:hAnsi="Times New Roman" w:cs="Times New Roman"/>
          <w:sz w:val="24"/>
          <w:szCs w:val="24"/>
        </w:rPr>
        <w:t xml:space="preserve">all one force rigor-centered (factual, specialized, technical) and the other accessibility-centered (mythologized, innovative, artistic). </w:t>
      </w:r>
    </w:p>
    <w:p w:rsidR="00556DEB" w:rsidRPr="00225166" w:rsidRDefault="000F31CF">
      <w:pPr>
        <w:pStyle w:val="Body"/>
        <w:spacing w:line="480" w:lineRule="auto"/>
        <w:ind w:firstLine="720"/>
        <w:rPr>
          <w:rFonts w:ascii="Times New Roman" w:eastAsia="Times New Roman" w:hAnsi="Times New Roman" w:cs="Times New Roman"/>
          <w:b/>
          <w:bCs/>
          <w:sz w:val="24"/>
          <w:szCs w:val="24"/>
        </w:rPr>
      </w:pPr>
      <w:r w:rsidRPr="004421BB">
        <w:rPr>
          <w:rFonts w:ascii="Times New Roman" w:hAnsi="Times New Roman" w:cs="Times New Roman"/>
          <w:sz w:val="24"/>
          <w:szCs w:val="24"/>
        </w:rPr>
        <w:t>From a systemic perspective, historically, math curricula and instruction in the U.S. have suffered from a lack of ac</w:t>
      </w:r>
      <w:r w:rsidRPr="001A25AC">
        <w:rPr>
          <w:rFonts w:ascii="Times New Roman" w:hAnsi="Times New Roman" w:cs="Times New Roman"/>
          <w:sz w:val="24"/>
          <w:szCs w:val="24"/>
        </w:rPr>
        <w:t xml:space="preserve">cessibility-centered force. District initiatives focused on standardized </w:t>
      </w:r>
      <w:r w:rsidRPr="001A25AC">
        <w:rPr>
          <w:rFonts w:ascii="Times New Roman" w:hAnsi="Times New Roman" w:cs="Times New Roman"/>
          <w:sz w:val="24"/>
          <w:szCs w:val="24"/>
        </w:rPr>
        <w:lastRenderedPageBreak/>
        <w:t xml:space="preserve">assessments subsume individuality, algorithmic specialization overrides innovation, and facts displace myth. When considering the quantitative nature—indeed the minutiae and the breadth— of K-12 math instruction, it is easy to understand how educators, and society in general, found themselves in this curricular predicament.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Interventions that aim to increase accessibility tend to focus less on content and more on culturally responsive</w:t>
      </w:r>
      <w:r w:rsidRPr="001A25AC">
        <w:rPr>
          <w:rFonts w:ascii="Times New Roman" w:hAnsi="Times New Roman" w:cs="Times New Roman"/>
          <w:sz w:val="24"/>
          <w:szCs w:val="24"/>
        </w:rPr>
        <w:t xml:space="preserve"> teaching practices and methods for sharing authority in the math classroom (Holland, 2022; Kang et al., 2018; Langer-Osuna et al., 2020; </w:t>
      </w:r>
      <w:proofErr w:type="spellStart"/>
      <w:r w:rsidRPr="001A25AC">
        <w:rPr>
          <w:rFonts w:ascii="Times New Roman" w:hAnsi="Times New Roman" w:cs="Times New Roman"/>
          <w:sz w:val="24"/>
          <w:szCs w:val="24"/>
        </w:rPr>
        <w:t>Selbach</w:t>
      </w:r>
      <w:proofErr w:type="spellEnd"/>
      <w:r w:rsidRPr="001A25AC">
        <w:rPr>
          <w:rFonts w:ascii="Times New Roman" w:hAnsi="Times New Roman" w:cs="Times New Roman"/>
          <w:sz w:val="24"/>
          <w:szCs w:val="24"/>
        </w:rPr>
        <w:t>-Allen et al., 2020). Proponents of these strategies insist they can move the needle regarding academic achievement. However, those results remain to be seen. Many schools, districts, and even states have instituted alternative math pathways such that students can "opt out" of traditional math and enroll in courses that are more akin to math appreciation to satisfy their math credit graduation requirements (California Department of Education, n.d.;</w:t>
      </w:r>
      <w:r w:rsidR="004421BB">
        <w:rPr>
          <w:rFonts w:ascii="Times New Roman" w:hAnsi="Times New Roman" w:cs="Times New Roman"/>
          <w:sz w:val="24"/>
          <w:szCs w:val="24"/>
        </w:rPr>
        <w:t xml:space="preserve"> Liston &amp; Getz, 2019).</w:t>
      </w:r>
      <w:r w:rsidRPr="001A25AC">
        <w:rPr>
          <w:rFonts w:ascii="Times New Roman" w:hAnsi="Times New Roman" w:cs="Times New Roman"/>
          <w:sz w:val="24"/>
          <w:szCs w:val="24"/>
        </w:rPr>
        <w:t xml:space="preserve"> While a case could be made for allowing alternative pathways in specific, individualized contexts, the problem with this strategy as a wholesale solution is that it does nothing to address the concerns of the rigor-minded set and generally contradicts what countless teachers profess daily as truth in terms of growth mindset and the universal ability to learn math to high levels (</w:t>
      </w:r>
      <w:proofErr w:type="spellStart"/>
      <w:r w:rsidRPr="001A25AC">
        <w:rPr>
          <w:rFonts w:ascii="Times New Roman" w:hAnsi="Times New Roman" w:cs="Times New Roman"/>
          <w:sz w:val="24"/>
          <w:szCs w:val="24"/>
        </w:rPr>
        <w:t>Boaler</w:t>
      </w:r>
      <w:proofErr w:type="spellEnd"/>
      <w:r w:rsidRPr="001A25AC">
        <w:rPr>
          <w:rFonts w:ascii="Times New Roman" w:hAnsi="Times New Roman" w:cs="Times New Roman"/>
          <w:sz w:val="24"/>
          <w:szCs w:val="24"/>
        </w:rPr>
        <w:t xml:space="preserve"> et al., 2021; </w:t>
      </w:r>
      <w:proofErr w:type="spellStart"/>
      <w:r w:rsidRPr="001A25AC">
        <w:rPr>
          <w:rFonts w:ascii="Times New Roman" w:hAnsi="Times New Roman" w:cs="Times New Roman"/>
          <w:sz w:val="24"/>
          <w:szCs w:val="24"/>
        </w:rPr>
        <w:t>Selbach</w:t>
      </w:r>
      <w:proofErr w:type="spellEnd"/>
      <w:r w:rsidRPr="001A25AC">
        <w:rPr>
          <w:rFonts w:ascii="Times New Roman" w:hAnsi="Times New Roman" w:cs="Times New Roman"/>
          <w:sz w:val="24"/>
          <w:szCs w:val="24"/>
        </w:rPr>
        <w:t xml:space="preserve">-Allen et al., 2020). Policies that adjust content rather than delivery give the subtextual impression that our math achievement scores are so low as to be insurmountable.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Dissenters of these policies, many of them higher education STEM professors, claim that they detract from and diffuse the academic rigor needed to practice and learn math at high levels. Math education as a system is continually oscillating between these opposing forces of maintaining rigor a</w:t>
      </w:r>
      <w:r w:rsidRPr="001A25AC">
        <w:rPr>
          <w:rFonts w:ascii="Times New Roman" w:hAnsi="Times New Roman" w:cs="Times New Roman"/>
          <w:sz w:val="24"/>
          <w:szCs w:val="24"/>
        </w:rPr>
        <w:t xml:space="preserve">nd increasing accessibility. The opposing sides’ mistrust of and focus on the </w:t>
      </w:r>
      <w:r w:rsidRPr="001A25AC">
        <w:rPr>
          <w:rFonts w:ascii="Times New Roman" w:hAnsi="Times New Roman" w:cs="Times New Roman"/>
          <w:sz w:val="24"/>
          <w:szCs w:val="24"/>
        </w:rPr>
        <w:lastRenderedPageBreak/>
        <w:t xml:space="preserve">other’s methods have created unprecedented learning gaps and have cost American students greatly.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These two warring schools of thought will continue to cost the U.S. in terms of student gains as long as they are frame-bound instead of reality-bound. To effectively restructure math education, we must be willing to break out of traditional educational frameworks and the detrimental belief that there is only one correct pedagogical </w:t>
      </w:r>
      <w:r w:rsidRPr="001A25AC">
        <w:rPr>
          <w:rFonts w:ascii="Times New Roman" w:hAnsi="Times New Roman" w:cs="Times New Roman"/>
          <w:sz w:val="24"/>
          <w:szCs w:val="24"/>
        </w:rPr>
        <w:t xml:space="preserve">focus (rigor or accessibility). If any academic field should know about opposing and balancing forces—the ingredients for every formula and equation—it is math. It is time we take the data to heart and reframe math instruction from a reality-bound perspective. </w:t>
      </w:r>
    </w:p>
    <w:p w:rsidR="00556DEB" w:rsidRPr="00225166" w:rsidRDefault="000F31CF">
      <w:pPr>
        <w:pStyle w:val="Body"/>
        <w:spacing w:line="480" w:lineRule="auto"/>
        <w:rPr>
          <w:rFonts w:ascii="Times New Roman" w:eastAsia="Times New Roman" w:hAnsi="Times New Roman" w:cs="Times New Roman"/>
          <w:sz w:val="24"/>
          <w:szCs w:val="24"/>
        </w:rPr>
      </w:pPr>
      <w:r w:rsidRPr="00225166">
        <w:rPr>
          <w:rFonts w:ascii="Times New Roman" w:eastAsia="Times New Roman" w:hAnsi="Times New Roman" w:cs="Times New Roman"/>
          <w:sz w:val="24"/>
          <w:szCs w:val="24"/>
        </w:rPr>
        <w:tab/>
        <w:t xml:space="preserve">When considering the cut-and-dried nature of math, indeed the fact that there is only one correct answer to every problem, one can understand how, in our effort to enhance the math potential of our students, we lost the forest for the trees. Unlike English Language Arts and other academic subjects within the humanities, which offer obvious ways for students to personally connect to texts and historical events in the process of self-actualization, math self-actualization must be more intentional. We have become so focused on the specialized subject of math (the job) and the students who learn it (the man) that we have inadvertently forgone any chance at real curricular innovation. </w:t>
      </w:r>
    </w:p>
    <w:p w:rsidR="00556DEB" w:rsidRPr="00225166" w:rsidRDefault="000F31CF">
      <w:pPr>
        <w:pStyle w:val="Body"/>
        <w:spacing w:line="480" w:lineRule="auto"/>
        <w:rPr>
          <w:rFonts w:ascii="Times New Roman" w:eastAsia="Times New Roman" w:hAnsi="Times New Roman" w:cs="Times New Roman"/>
          <w:sz w:val="24"/>
          <w:szCs w:val="24"/>
        </w:rPr>
      </w:pPr>
      <w:r w:rsidRPr="00225166">
        <w:rPr>
          <w:rFonts w:ascii="Times New Roman" w:eastAsia="Times New Roman" w:hAnsi="Times New Roman" w:cs="Times New Roman"/>
          <w:sz w:val="24"/>
          <w:szCs w:val="24"/>
        </w:rPr>
        <w:tab/>
        <w:t xml:space="preserve">In his seminal work juxtaposing two struggling Chicago schools, </w:t>
      </w:r>
      <w:r w:rsidRPr="004421BB">
        <w:rPr>
          <w:rFonts w:ascii="Times New Roman" w:hAnsi="Times New Roman" w:cs="Times New Roman"/>
          <w:sz w:val="24"/>
          <w:szCs w:val="24"/>
        </w:rPr>
        <w:t>“Organizing Schools for Improvement,” Bryk et al. (2010) noted that while reading gains could still be made in schools despite weak supports, no school lacking in support showed improvement in mathematics. The language of numbers has yet to be contextualized for</w:t>
      </w:r>
      <w:r w:rsidRPr="001A25AC">
        <w:rPr>
          <w:rFonts w:ascii="Times New Roman" w:hAnsi="Times New Roman" w:cs="Times New Roman"/>
          <w:sz w:val="24"/>
          <w:szCs w:val="24"/>
        </w:rPr>
        <w:t xml:space="preserve"> students in the same way the language of words has. It is hidden behind a shroud of inaccessible cryptology, a chasm that appears to increase with each subsequent school year. </w:t>
      </w:r>
    </w:p>
    <w:p w:rsidR="00556DEB" w:rsidRPr="00225166" w:rsidRDefault="000F31CF">
      <w:pPr>
        <w:pStyle w:val="Body"/>
        <w:spacing w:line="480" w:lineRule="auto"/>
        <w:rPr>
          <w:rFonts w:ascii="Times New Roman" w:eastAsia="Times New Roman" w:hAnsi="Times New Roman" w:cs="Times New Roman"/>
          <w:sz w:val="24"/>
          <w:szCs w:val="24"/>
        </w:rPr>
      </w:pPr>
      <w:r w:rsidRPr="00225166">
        <w:rPr>
          <w:rFonts w:ascii="Times New Roman" w:eastAsia="Times New Roman" w:hAnsi="Times New Roman" w:cs="Times New Roman"/>
          <w:sz w:val="24"/>
          <w:szCs w:val="24"/>
        </w:rPr>
        <w:lastRenderedPageBreak/>
        <w:tab/>
        <w:t xml:space="preserve">Reframing math education from a reality-bound perspective requires that we put down our chalk for a minute and go back to the beginning, the beginning of math. It is easy to see the apparent ways math is quantitative; it is the language of numbers. However, most ignore the qualitative elements intrinsic to math, the way that human beings across time and cultures shaped it into a useful, shared artifact (O'Connor &amp; Robertson, 2000; Smith &amp; Ginsburg, 1937; Yong &amp; Se, 2004). </w:t>
      </w:r>
    </w:p>
    <w:p w:rsidR="00556DEB" w:rsidRPr="00225166" w:rsidRDefault="000F31CF">
      <w:pPr>
        <w:pStyle w:val="Body"/>
        <w:spacing w:line="480" w:lineRule="auto"/>
        <w:rPr>
          <w:rFonts w:ascii="Times New Roman" w:eastAsia="Times New Roman" w:hAnsi="Times New Roman" w:cs="Times New Roman"/>
          <w:sz w:val="24"/>
          <w:szCs w:val="24"/>
        </w:rPr>
      </w:pPr>
      <w:r w:rsidRPr="00225166">
        <w:rPr>
          <w:rFonts w:ascii="Times New Roman" w:eastAsia="Times New Roman" w:hAnsi="Times New Roman" w:cs="Times New Roman"/>
          <w:sz w:val="24"/>
          <w:szCs w:val="24"/>
        </w:rPr>
        <w:tab/>
        <w:t xml:space="preserve">Few things in life are more </w:t>
      </w:r>
      <w:r w:rsidRPr="004421BB">
        <w:rPr>
          <w:rFonts w:ascii="Times New Roman" w:hAnsi="Times New Roman" w:cs="Times New Roman"/>
          <w:sz w:val="24"/>
          <w:szCs w:val="24"/>
        </w:rPr>
        <w:t xml:space="preserve">bluntly factual than balancing an equation to solve for </w:t>
      </w:r>
      <w:r w:rsidRPr="004421BB">
        <w:rPr>
          <w:rFonts w:ascii="Times New Roman" w:hAnsi="Times New Roman" w:cs="Times New Roman"/>
          <w:i/>
          <w:iCs/>
          <w:sz w:val="24"/>
          <w:szCs w:val="24"/>
        </w:rPr>
        <w:t>x</w:t>
      </w:r>
      <w:r w:rsidRPr="004421BB">
        <w:rPr>
          <w:rFonts w:ascii="Times New Roman" w:hAnsi="Times New Roman" w:cs="Times New Roman"/>
          <w:sz w:val="24"/>
          <w:szCs w:val="24"/>
        </w:rPr>
        <w:t>. While we may not be abl</w:t>
      </w:r>
      <w:r w:rsidRPr="001A25AC">
        <w:rPr>
          <w:rFonts w:ascii="Times New Roman" w:hAnsi="Times New Roman" w:cs="Times New Roman"/>
          <w:sz w:val="24"/>
          <w:szCs w:val="24"/>
        </w:rPr>
        <w:t xml:space="preserve">e to incorporate mythology into every equation, we can help students grasp the shared symbolism that gave rise to our number system. The language of math quite literally depends on symbols. </w:t>
      </w:r>
    </w:p>
    <w:p w:rsidR="00556DEB" w:rsidRPr="00225166" w:rsidRDefault="000F31CF">
      <w:pPr>
        <w:pStyle w:val="Body"/>
        <w:spacing w:line="480" w:lineRule="auto"/>
        <w:rPr>
          <w:rFonts w:ascii="Times New Roman" w:eastAsia="Times New Roman" w:hAnsi="Times New Roman" w:cs="Times New Roman"/>
          <w:b/>
          <w:bCs/>
          <w:sz w:val="24"/>
          <w:szCs w:val="24"/>
        </w:rPr>
      </w:pPr>
      <w:r w:rsidRPr="004421BB">
        <w:rPr>
          <w:rFonts w:ascii="Times New Roman" w:hAnsi="Times New Roman" w:cs="Times New Roman"/>
          <w:b/>
          <w:bCs/>
          <w:sz w:val="24"/>
          <w:szCs w:val="24"/>
        </w:rPr>
        <w:t xml:space="preserve">The Language of Mathematics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Much like tree leaves and ocean shells contain math in the form of fractals and numerical sequences, the language of math contains human fingerprints—of those who brought it into existence and those who continue to use it. From this perspective, every subs</w:t>
      </w:r>
      <w:r w:rsidRPr="001A25AC">
        <w:rPr>
          <w:rFonts w:ascii="Times New Roman" w:hAnsi="Times New Roman" w:cs="Times New Roman"/>
          <w:sz w:val="24"/>
          <w:szCs w:val="24"/>
        </w:rPr>
        <w:t xml:space="preserve">equent equation or operation is also tied inextricably to human connectedness and ingenuity.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Imagine you are an alien from outer space and stumble upon the symbol "3." Would you have any idea what it meant? There is nothing inherent to "3" that makes us k</w:t>
      </w:r>
      <w:r w:rsidRPr="001A25AC">
        <w:rPr>
          <w:rFonts w:ascii="Times New Roman" w:hAnsi="Times New Roman" w:cs="Times New Roman"/>
          <w:sz w:val="24"/>
          <w:szCs w:val="24"/>
        </w:rPr>
        <w:t xml:space="preserve">now that it represents a quantity of three. This exercise allows us to imagine how students construct mathematical understanding through a process called concrete-pictorial-abstract or CPA.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In the concrete stage, a student can hold up three fingers or collect three blocks to communicate a value in a one-to-one ratio. In the pictorial stage, the student can draw a quantity, for example, three flowers, to show understanding and begin to adjust to the idea of representing value through symbolism. The final st</w:t>
      </w:r>
      <w:r w:rsidRPr="001A25AC">
        <w:rPr>
          <w:rFonts w:ascii="Times New Roman" w:hAnsi="Times New Roman" w:cs="Times New Roman"/>
          <w:sz w:val="24"/>
          <w:szCs w:val="24"/>
        </w:rPr>
        <w:t xml:space="preserve">age is abstract—here, the student uses the symbol "3" to </w:t>
      </w:r>
      <w:r w:rsidRPr="001A25AC">
        <w:rPr>
          <w:rFonts w:ascii="Times New Roman" w:hAnsi="Times New Roman" w:cs="Times New Roman"/>
          <w:sz w:val="24"/>
          <w:szCs w:val="24"/>
        </w:rPr>
        <w:lastRenderedPageBreak/>
        <w:t xml:space="preserve">mean three of something. This seemingly mundane transition is not just an arrival at a procedural destination but a rite of passage inducting the learner into a vast, intricate, globally shared web of collective, symbolic meaning.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We have been teaching students dozens of math symbols, from numbers and operations to exponents, variables, and formulas without any of the ritualistic shared meanings that brought them into being in the first place.</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Much of that ritual can be found in a weathered and decaying booklet, "Numbers and Numerals: A Story Book for Young and Old," published in 1937 by the Columbia Teachers' College (Smith &amp; Ginsburg, 1937). Full of imagery and diagrams, from the eloquent stick sys</w:t>
      </w:r>
      <w:r w:rsidRPr="001A25AC">
        <w:rPr>
          <w:rFonts w:ascii="Times New Roman" w:hAnsi="Times New Roman" w:cs="Times New Roman"/>
          <w:sz w:val="24"/>
          <w:szCs w:val="24"/>
        </w:rPr>
        <w:t>tem of China to the pragmatic finger numerals of Europe, it is clear that humans and numbers have a long and storied relationship. It is also clear that our current base ten positional system is arguably the single greatest global achievement of all time (Howe, 2018; O'Connor &amp; Robertson, 2000; Smith &amp; Ginsburg, 1937; Yong &amp; Se, 2004). Most cultures began with hash marks, or a unary system, which represented value in a 1:1 ratio. As civilizations became more sophisticated, symbols denoting larger values in varying ratios, such as the Romans</w:t>
      </w:r>
      <w:r w:rsidR="00F53672">
        <w:rPr>
          <w:rFonts w:ascii="Times New Roman" w:hAnsi="Times New Roman" w:cs="Times New Roman"/>
          <w:sz w:val="24"/>
          <w:szCs w:val="24"/>
        </w:rPr>
        <w:t>’</w:t>
      </w:r>
      <w:r w:rsidRPr="001A25AC">
        <w:rPr>
          <w:rFonts w:ascii="Times New Roman" w:hAnsi="Times New Roman" w:cs="Times New Roman"/>
          <w:sz w:val="24"/>
          <w:szCs w:val="24"/>
        </w:rPr>
        <w:t xml:space="preserve"> L for 50 or 1:50, emerged. Eventually, humans kept the idea of symbols like the Romans, but unlike the Romans, they devised individual symbols for 1-9 based on ancient Sanskrit (Smith &amp; Ginsburg, 1937). Thus, Hindu-Arabic numerals were employed. These were given further meaning by formalizing our biological affinity for 10 through the symbols</w:t>
      </w:r>
      <w:r w:rsidR="00F53672">
        <w:rPr>
          <w:rFonts w:ascii="Times New Roman" w:hAnsi="Times New Roman" w:cs="Times New Roman"/>
          <w:sz w:val="24"/>
          <w:szCs w:val="24"/>
        </w:rPr>
        <w:t>’</w:t>
      </w:r>
      <w:r w:rsidRPr="001A25AC">
        <w:rPr>
          <w:rFonts w:ascii="Times New Roman" w:hAnsi="Times New Roman" w:cs="Times New Roman"/>
          <w:sz w:val="24"/>
          <w:szCs w:val="24"/>
        </w:rPr>
        <w:t xml:space="preserve"> placement on an invisible 1:10 ratio board of ones, tens, and hundreds, aka place value. One hundred years later, around 600 CE, the concept of 0 as a numeral caught on, which exponentially increased the new system</w:t>
      </w:r>
      <w:r w:rsidR="00F53672">
        <w:rPr>
          <w:rFonts w:ascii="Times New Roman" w:hAnsi="Times New Roman" w:cs="Times New Roman"/>
          <w:sz w:val="24"/>
          <w:szCs w:val="24"/>
        </w:rPr>
        <w:t>’</w:t>
      </w:r>
      <w:r w:rsidRPr="001A25AC">
        <w:rPr>
          <w:rFonts w:ascii="Times New Roman" w:hAnsi="Times New Roman" w:cs="Times New Roman"/>
          <w:sz w:val="24"/>
          <w:szCs w:val="24"/>
        </w:rPr>
        <w:t>s functionality and paved the way for decimals (O</w:t>
      </w:r>
      <w:r w:rsidR="00F53672">
        <w:rPr>
          <w:rFonts w:ascii="Times New Roman" w:hAnsi="Times New Roman" w:cs="Times New Roman"/>
          <w:sz w:val="24"/>
          <w:szCs w:val="24"/>
        </w:rPr>
        <w:t>’</w:t>
      </w:r>
      <w:r w:rsidRPr="001A25AC">
        <w:rPr>
          <w:rFonts w:ascii="Times New Roman" w:hAnsi="Times New Roman" w:cs="Times New Roman"/>
          <w:sz w:val="24"/>
          <w:szCs w:val="24"/>
        </w:rPr>
        <w:t>Connor &amp; Robertson, 2000; Smith &amp; Ginsburg, 1937).</w:t>
      </w:r>
    </w:p>
    <w:p w:rsidR="00556DEB" w:rsidRPr="00225166" w:rsidRDefault="000F31CF">
      <w:pPr>
        <w:pStyle w:val="Body"/>
        <w:spacing w:line="480" w:lineRule="auto"/>
        <w:jc w:val="center"/>
        <w:rPr>
          <w:rFonts w:ascii="Times New Roman" w:eastAsia="Times New Roman" w:hAnsi="Times New Roman" w:cs="Times New Roman"/>
          <w:b/>
          <w:bCs/>
          <w:sz w:val="24"/>
          <w:szCs w:val="24"/>
        </w:rPr>
      </w:pPr>
      <w:r w:rsidRPr="004421BB">
        <w:rPr>
          <w:rFonts w:ascii="Times New Roman" w:hAnsi="Times New Roman" w:cs="Times New Roman"/>
          <w:b/>
          <w:bCs/>
          <w:sz w:val="24"/>
          <w:szCs w:val="24"/>
        </w:rPr>
        <w:t>Implications: Constructing Mathematical Literacy in the Rational Number Domain</w:t>
      </w:r>
    </w:p>
    <w:p w:rsidR="00556DEB" w:rsidRPr="00225166" w:rsidRDefault="000F31CF">
      <w:pPr>
        <w:pStyle w:val="Body"/>
        <w:spacing w:line="480" w:lineRule="auto"/>
        <w:rPr>
          <w:rFonts w:ascii="Times New Roman" w:eastAsia="Times New Roman" w:hAnsi="Times New Roman" w:cs="Times New Roman"/>
          <w:sz w:val="24"/>
          <w:szCs w:val="24"/>
        </w:rPr>
      </w:pPr>
      <w:r w:rsidRPr="00225166">
        <w:rPr>
          <w:rFonts w:ascii="Times New Roman" w:eastAsia="Times New Roman" w:hAnsi="Times New Roman" w:cs="Times New Roman"/>
          <w:b/>
          <w:bCs/>
          <w:sz w:val="24"/>
          <w:szCs w:val="24"/>
        </w:rPr>
        <w:lastRenderedPageBreak/>
        <w:tab/>
      </w:r>
      <w:r w:rsidRPr="004421BB">
        <w:rPr>
          <w:rFonts w:ascii="Times New Roman" w:hAnsi="Times New Roman" w:cs="Times New Roman"/>
          <w:sz w:val="24"/>
          <w:szCs w:val="24"/>
        </w:rPr>
        <w:t>This section aims to provide an overview within a constructivist framework for how mathematical literacy is thwarted or achieved. Student, teacher, and curricular perspectives are considered.</w:t>
      </w:r>
    </w:p>
    <w:p w:rsidR="00556DEB" w:rsidRPr="00225166" w:rsidRDefault="000F31CF">
      <w:pPr>
        <w:pStyle w:val="Body"/>
        <w:spacing w:line="480" w:lineRule="auto"/>
        <w:rPr>
          <w:rFonts w:ascii="Times New Roman" w:eastAsia="Times New Roman" w:hAnsi="Times New Roman" w:cs="Times New Roman"/>
          <w:b/>
          <w:bCs/>
          <w:sz w:val="24"/>
          <w:szCs w:val="24"/>
        </w:rPr>
      </w:pPr>
      <w:r w:rsidRPr="004421BB">
        <w:rPr>
          <w:rFonts w:ascii="Times New Roman" w:hAnsi="Times New Roman" w:cs="Times New Roman"/>
          <w:b/>
          <w:bCs/>
          <w:sz w:val="24"/>
          <w:szCs w:val="24"/>
        </w:rPr>
        <w:t>Student Learning</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When considering rational number comprehension from the student</w:t>
      </w:r>
      <w:r w:rsidR="00F53672">
        <w:rPr>
          <w:rFonts w:ascii="Times New Roman" w:hAnsi="Times New Roman" w:cs="Times New Roman"/>
          <w:sz w:val="24"/>
          <w:szCs w:val="24"/>
        </w:rPr>
        <w:t>’</w:t>
      </w:r>
      <w:r w:rsidRPr="004421BB">
        <w:rPr>
          <w:rFonts w:ascii="Times New Roman" w:hAnsi="Times New Roman" w:cs="Times New Roman"/>
          <w:sz w:val="24"/>
          <w:szCs w:val="24"/>
        </w:rPr>
        <w:t>s perspective, it is essential to recognize that rational numbers represent the second domain of number sense they acquire. The first number sense students develop is natural numbers, sometimes called counting numbers, e.g., 1, 2</w:t>
      </w:r>
      <w:r w:rsidRPr="001A25AC">
        <w:rPr>
          <w:rFonts w:ascii="Times New Roman" w:hAnsi="Times New Roman" w:cs="Times New Roman"/>
          <w:sz w:val="24"/>
          <w:szCs w:val="24"/>
        </w:rPr>
        <w:t xml:space="preserve">, 3, 4, and so on. In this domain, students learn to order and compare numbers, as well as compute values using the four primary operations of addition, subtraction, multiplication, and division. Over time, they develop an intuitive sense of how these numbers behave, e.g., adding and multiplying numbers gives a greater answer, and subtracting and dividing numbers gives a lesser answer (De </w:t>
      </w:r>
      <w:proofErr w:type="spellStart"/>
      <w:r w:rsidRPr="001A25AC">
        <w:rPr>
          <w:rFonts w:ascii="Times New Roman" w:hAnsi="Times New Roman" w:cs="Times New Roman"/>
          <w:sz w:val="24"/>
          <w:szCs w:val="24"/>
        </w:rPr>
        <w:t>Keersmaeker</w:t>
      </w:r>
      <w:proofErr w:type="spellEnd"/>
      <w:r w:rsidRPr="001A25AC">
        <w:rPr>
          <w:rFonts w:ascii="Times New Roman" w:hAnsi="Times New Roman" w:cs="Times New Roman"/>
          <w:sz w:val="24"/>
          <w:szCs w:val="24"/>
        </w:rPr>
        <w:t xml:space="preserve"> et al., 2022; Van Hoof et al., 2020). When students begin to study rational numbers, they often erroneously apply numerical reasoning intrinsic to their natural number sense, called natural number bias (Van Hoof et al., 2020).</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lang w:val="it-IT"/>
        </w:rPr>
        <w:t>Due</w:t>
      </w:r>
      <w:r w:rsidRPr="004421BB">
        <w:rPr>
          <w:rFonts w:ascii="Times New Roman" w:hAnsi="Times New Roman" w:cs="Times New Roman"/>
          <w:sz w:val="24"/>
          <w:szCs w:val="24"/>
        </w:rPr>
        <w:t xml:space="preserve"> to natural number bias, numbers may appear larger to students that are not, e.g., 15.2 &gt; 5.1346 (more digits do not mean a greater number) and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225166">
        <w:rPr>
          <w:rFonts w:ascii="Times New Roman" w:hAnsi="Times New Roman" w:cs="Times New Roman"/>
          <w:sz w:val="24"/>
          <w:szCs w:val="24"/>
        </w:rPr>
        <w:t xml:space="preserve"> &lt; </w:t>
      </w:r>
      <m:oMath>
        <m:f>
          <m:fPr>
            <m:ctrlPr>
              <w:rPr>
                <w:rFonts w:ascii="Cambria Math" w:hAnsi="Cambria Math" w:cs="Times New Roman"/>
                <w:sz w:val="24"/>
                <w:szCs w:val="28"/>
              </w:rPr>
            </m:ctrlPr>
          </m:fPr>
          <m:num>
            <m:r>
              <m:rPr>
                <m:sty m:val="p"/>
              </m:rPr>
              <w:rPr>
                <w:rFonts w:ascii="Cambria Math" w:hAnsi="Cambria Math" w:cs="Times New Roman"/>
                <w:sz w:val="24"/>
                <w:szCs w:val="28"/>
              </w:rPr>
              <m:t>1</m:t>
            </m:r>
          </m:num>
          <m:den>
            <m:r>
              <m:rPr>
                <m:sty m:val="p"/>
              </m:rPr>
              <w:rPr>
                <w:rFonts w:ascii="Cambria Math" w:hAnsi="Cambria Math" w:cs="Times New Roman"/>
                <w:sz w:val="24"/>
                <w:szCs w:val="28"/>
              </w:rPr>
              <m:t>2</m:t>
            </m:r>
          </m:den>
        </m:f>
      </m:oMath>
      <w:r w:rsidRPr="00225166">
        <w:rPr>
          <w:rFonts w:ascii="Times New Roman" w:hAnsi="Times New Roman" w:cs="Times New Roman"/>
          <w:sz w:val="24"/>
          <w:szCs w:val="24"/>
        </w:rPr>
        <w:t xml:space="preserve"> (larger digits do not mean a greater number). Operations follow suit in this inverse world, e.g.,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225166">
        <w:rPr>
          <w:rFonts w:ascii="Times New Roman" w:hAnsi="Times New Roman" w:cs="Times New Roman"/>
          <w:sz w:val="24"/>
          <w:szCs w:val="24"/>
        </w:rPr>
        <w:t xml:space="preserve"> x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225166">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225166">
        <w:rPr>
          <w:rFonts w:ascii="Times New Roman" w:hAnsi="Times New Roman" w:cs="Times New Roman"/>
          <w:sz w:val="24"/>
          <w:szCs w:val="24"/>
        </w:rPr>
        <w:t xml:space="preserve"> (the product is smaller than its factors) and 0.6 </w:t>
      </w:r>
      <m:oMath>
        <m:r>
          <w:rPr>
            <w:rFonts w:ascii="Cambria Math" w:hAnsi="Cambria Math" w:cs="Times New Roman"/>
            <w:sz w:val="28"/>
            <w:szCs w:val="28"/>
          </w:rPr>
          <m:t>÷</m:t>
        </m:r>
      </m:oMath>
      <w:r w:rsidRPr="004421BB">
        <w:rPr>
          <w:rFonts w:ascii="Times New Roman" w:hAnsi="Times New Roman" w:cs="Times New Roman"/>
          <w:sz w:val="24"/>
          <w:szCs w:val="24"/>
        </w:rPr>
        <w:t xml:space="preserve"> 0.2 = 3 (the quotient is larger than the dividend and divisor). It is not enough for students to take the teacher</w:t>
      </w:r>
      <w:r w:rsidR="00F53672">
        <w:rPr>
          <w:rFonts w:ascii="Times New Roman" w:hAnsi="Times New Roman" w:cs="Times New Roman"/>
          <w:sz w:val="24"/>
          <w:szCs w:val="24"/>
        </w:rPr>
        <w:t>’</w:t>
      </w:r>
      <w:r w:rsidRPr="004421BB">
        <w:rPr>
          <w:rFonts w:ascii="Times New Roman" w:hAnsi="Times New Roman" w:cs="Times New Roman"/>
          <w:sz w:val="24"/>
          <w:szCs w:val="24"/>
        </w:rPr>
        <w:t>s word for the correct answer and how to get there. They need to know why this inverse world exists and how to navigate it themselves.</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Furthermore, many sixth-grade students begin using the set of integers, including negative numbers. From anecdotal data, the most common error of writing a negative number </w:t>
      </w:r>
      <w:r w:rsidRPr="004421BB">
        <w:rPr>
          <w:rFonts w:ascii="Times New Roman" w:hAnsi="Times New Roman" w:cs="Times New Roman"/>
          <w:sz w:val="24"/>
          <w:szCs w:val="24"/>
        </w:rPr>
        <w:lastRenderedPageBreak/>
        <w:t xml:space="preserve">line is writing it from greatest to least, e.g., -1, -2, -3, -4, and so on. This response </w:t>
      </w:r>
      <w:r w:rsidRPr="001A25AC">
        <w:rPr>
          <w:rFonts w:ascii="Times New Roman" w:hAnsi="Times New Roman" w:cs="Times New Roman"/>
          <w:sz w:val="24"/>
          <w:szCs w:val="24"/>
        </w:rPr>
        <w:t>contains natural number bias in the form of a directional error. Unaddressed, these errors persist and are exacerbated with negative rational numbers, e.g., on a number line with -6 on the left and -5 on the right, many students mark the midpoint as -6.5 when the correct answer is -5.5.</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Consider a student entering the rational number domain who is taught to “move the decimal” rather than the digits to solve various problems. This means that they must (a) know that as we read numbers left to right, their pla</w:t>
      </w:r>
      <w:r w:rsidRPr="001A25AC">
        <w:rPr>
          <w:rFonts w:ascii="Times New Roman" w:hAnsi="Times New Roman" w:cs="Times New Roman"/>
          <w:sz w:val="24"/>
          <w:szCs w:val="24"/>
        </w:rPr>
        <w:t>ce values go from greatest to least (the opposite of how they learned to count) (Howe &amp; Epp, 2008); (b) understand place value</w:t>
      </w:r>
      <w:r w:rsidR="00F53672">
        <w:rPr>
          <w:rFonts w:ascii="Times New Roman" w:hAnsi="Times New Roman" w:cs="Times New Roman"/>
          <w:sz w:val="24"/>
          <w:szCs w:val="24"/>
        </w:rPr>
        <w:t>’</w:t>
      </w:r>
      <w:r w:rsidRPr="001A25AC">
        <w:rPr>
          <w:rFonts w:ascii="Times New Roman" w:hAnsi="Times New Roman" w:cs="Times New Roman"/>
          <w:sz w:val="24"/>
          <w:szCs w:val="24"/>
        </w:rPr>
        <w:t xml:space="preserve">s multiplicative structure, that a digit </w:t>
      </w:r>
      <w:r w:rsidRPr="001A25AC">
        <w:rPr>
          <w:rFonts w:ascii="Times New Roman" w:hAnsi="Times New Roman" w:cs="Times New Roman"/>
          <w:i/>
          <w:iCs/>
          <w:sz w:val="24"/>
          <w:szCs w:val="24"/>
        </w:rPr>
        <w:t>moves left when multiplied</w:t>
      </w:r>
      <w:r w:rsidRPr="001A25AC">
        <w:rPr>
          <w:rFonts w:ascii="Times New Roman" w:hAnsi="Times New Roman" w:cs="Times New Roman"/>
          <w:sz w:val="24"/>
          <w:szCs w:val="24"/>
        </w:rPr>
        <w:t xml:space="preserve"> by ten and </w:t>
      </w:r>
      <w:r w:rsidRPr="001A25AC">
        <w:rPr>
          <w:rFonts w:ascii="Times New Roman" w:hAnsi="Times New Roman" w:cs="Times New Roman"/>
          <w:i/>
          <w:iCs/>
          <w:sz w:val="24"/>
          <w:szCs w:val="24"/>
        </w:rPr>
        <w:t>right when divided</w:t>
      </w:r>
      <w:r w:rsidRPr="001A25AC">
        <w:rPr>
          <w:rFonts w:ascii="Times New Roman" w:hAnsi="Times New Roman" w:cs="Times New Roman"/>
          <w:sz w:val="24"/>
          <w:szCs w:val="24"/>
        </w:rPr>
        <w:t xml:space="preserve"> by ten; and (c) fluidly and simultaneously translate this knowledge to instead move the decimal </w:t>
      </w:r>
      <w:r w:rsidRPr="001A25AC">
        <w:rPr>
          <w:rFonts w:ascii="Times New Roman" w:hAnsi="Times New Roman" w:cs="Times New Roman"/>
          <w:i/>
          <w:iCs/>
          <w:sz w:val="24"/>
          <w:szCs w:val="24"/>
        </w:rPr>
        <w:t>right to multiply</w:t>
      </w:r>
      <w:r w:rsidRPr="001A25AC">
        <w:rPr>
          <w:rFonts w:ascii="Times New Roman" w:hAnsi="Times New Roman" w:cs="Times New Roman"/>
          <w:sz w:val="24"/>
          <w:szCs w:val="24"/>
        </w:rPr>
        <w:t xml:space="preserve"> by ten and </w:t>
      </w:r>
      <w:r w:rsidRPr="001A25AC">
        <w:rPr>
          <w:rFonts w:ascii="Times New Roman" w:hAnsi="Times New Roman" w:cs="Times New Roman"/>
          <w:i/>
          <w:iCs/>
          <w:sz w:val="24"/>
          <w:szCs w:val="24"/>
        </w:rPr>
        <w:t>left to divide</w:t>
      </w:r>
      <w:r w:rsidRPr="001A25AC">
        <w:rPr>
          <w:rFonts w:ascii="Times New Roman" w:hAnsi="Times New Roman" w:cs="Times New Roman"/>
          <w:sz w:val="24"/>
          <w:szCs w:val="24"/>
        </w:rPr>
        <w:t xml:space="preserve"> by ten. This is not something we should ask our math learners to do. It is time to consider the true cost of teaching this deceptively convenient and shortcut practice. It is akin to teaching a child to play chess and then telling them to move the board instead of the pieces.</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As a middle school math teacher, I have let students ponder the same questions I had: Why does math exist? How did it become a</w:t>
      </w:r>
      <w:r w:rsidRPr="001A25AC">
        <w:rPr>
          <w:rFonts w:ascii="Times New Roman" w:hAnsi="Times New Roman" w:cs="Times New Roman"/>
          <w:sz w:val="24"/>
          <w:szCs w:val="24"/>
        </w:rPr>
        <w:t xml:space="preserve"> language? What other number systems were used, and what is it about base ten that made it stick? Alongside the organizational ritualism that involves in tying meaning to symbols lies the learning theory known as Constructivism. As previously mentioned, Constructivism is the belief that groups construct knowledge with and for one another, including a shared culture with shared artifacts imbued with meaning (</w:t>
      </w:r>
      <w:proofErr w:type="spellStart"/>
      <w:r w:rsidRPr="001A25AC">
        <w:rPr>
          <w:rFonts w:ascii="Times New Roman" w:hAnsi="Times New Roman" w:cs="Times New Roman"/>
          <w:sz w:val="24"/>
          <w:szCs w:val="24"/>
        </w:rPr>
        <w:t>Ertmer</w:t>
      </w:r>
      <w:proofErr w:type="spellEnd"/>
      <w:r w:rsidRPr="001A25AC">
        <w:rPr>
          <w:rFonts w:ascii="Times New Roman" w:hAnsi="Times New Roman" w:cs="Times New Roman"/>
          <w:sz w:val="24"/>
          <w:szCs w:val="24"/>
        </w:rPr>
        <w:t xml:space="preserve"> &amp; Newby, 2013).</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Additionally, Constructivism contends that new information is “constructed” in the mind, requiring learners to retrieve prior information in the process. The Vygotskian theory of Social </w:t>
      </w:r>
      <w:r w:rsidRPr="004421BB">
        <w:rPr>
          <w:rFonts w:ascii="Times New Roman" w:hAnsi="Times New Roman" w:cs="Times New Roman"/>
          <w:sz w:val="24"/>
          <w:szCs w:val="24"/>
        </w:rPr>
        <w:lastRenderedPageBreak/>
        <w:t>Constructivism embraces the idea that we first learn new information in a social context from a more knowledgeable other before internalizing that i</w:t>
      </w:r>
      <w:r w:rsidRPr="001A25AC">
        <w:rPr>
          <w:rFonts w:ascii="Times New Roman" w:hAnsi="Times New Roman" w:cs="Times New Roman"/>
          <w:sz w:val="24"/>
          <w:szCs w:val="24"/>
        </w:rPr>
        <w:t>nformation for repeated use over time. Phrases such as “move the decimal” essentially skip the entire social construction process and move immediately to internalization. Once students have fully developed rational number sense and have moved on to algebraic number sense, these phrases may become part of their internalized dialogue. However, relying on them during the learning process can delay learning or create a faulty foundation for subsequent knowledge construction.</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Exploring the role of our biological affinity for ten in the global formation of our number system leverages the learning theory known as embodied cognition, which contends that the physical elements of the human body significantly shape the workings of the human mind (American Psychological</w:t>
      </w:r>
      <w:r w:rsidRPr="001A25AC">
        <w:rPr>
          <w:rFonts w:ascii="Times New Roman" w:hAnsi="Times New Roman" w:cs="Times New Roman"/>
          <w:sz w:val="24"/>
          <w:szCs w:val="24"/>
        </w:rPr>
        <w:t xml:space="preserve"> Association, n.d.). This theory is further extrapolated to mathematics in what Nathan and </w:t>
      </w:r>
      <w:proofErr w:type="spellStart"/>
      <w:r w:rsidRPr="001A25AC">
        <w:rPr>
          <w:rFonts w:ascii="Times New Roman" w:hAnsi="Times New Roman" w:cs="Times New Roman"/>
          <w:sz w:val="24"/>
          <w:szCs w:val="24"/>
        </w:rPr>
        <w:t>Walkington</w:t>
      </w:r>
      <w:proofErr w:type="spellEnd"/>
      <w:r w:rsidRPr="001A25AC">
        <w:rPr>
          <w:rFonts w:ascii="Times New Roman" w:hAnsi="Times New Roman" w:cs="Times New Roman"/>
          <w:sz w:val="24"/>
          <w:szCs w:val="24"/>
        </w:rPr>
        <w:t xml:space="preserve"> (2017) called the theory of grounded and embodied mathematical cognition or GEMC. GEMC suggests employing physical actions and gestures to comprehend concepts associated with science, technology, engineering, and mathematics. At the same time, embodied cognition as it pertains to STEM fields has been researched, as well as the historical origins of our number system; both fields stop short of making the explicit curricular link between students</w:t>
      </w:r>
      <w:r w:rsidR="00F53672">
        <w:rPr>
          <w:rFonts w:ascii="Times New Roman" w:hAnsi="Times New Roman" w:cs="Times New Roman"/>
          <w:sz w:val="24"/>
          <w:szCs w:val="24"/>
        </w:rPr>
        <w:t>’</w:t>
      </w:r>
      <w:r w:rsidRPr="001A25AC">
        <w:rPr>
          <w:rFonts w:ascii="Times New Roman" w:hAnsi="Times New Roman" w:cs="Times New Roman"/>
          <w:sz w:val="24"/>
          <w:szCs w:val="24"/>
        </w:rPr>
        <w:t xml:space="preserve"> deep understanding of place value and the physio-cultural origins of our number system. This gap in academic research needs to be acknowledged and addressed.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The goal of humanizing rational numbers seeks to build on the existing literature, which deals with common pitfalls students encounter while constructing rational number understanding, such as natural number bias and rote algorithm errors. The cognitive process known as transference is critical for students tran</w:t>
      </w:r>
      <w:r w:rsidRPr="001A25AC">
        <w:rPr>
          <w:rFonts w:ascii="Times New Roman" w:hAnsi="Times New Roman" w:cs="Times New Roman"/>
          <w:sz w:val="24"/>
          <w:szCs w:val="24"/>
        </w:rPr>
        <w:t>sitioning from whole to rational number sense (</w:t>
      </w:r>
      <w:proofErr w:type="spellStart"/>
      <w:r w:rsidRPr="001A25AC">
        <w:rPr>
          <w:rFonts w:ascii="Times New Roman" w:hAnsi="Times New Roman" w:cs="Times New Roman"/>
          <w:sz w:val="24"/>
          <w:szCs w:val="24"/>
        </w:rPr>
        <w:t>Ertmer</w:t>
      </w:r>
      <w:proofErr w:type="spellEnd"/>
      <w:r w:rsidRPr="001A25AC">
        <w:rPr>
          <w:rFonts w:ascii="Times New Roman" w:hAnsi="Times New Roman" w:cs="Times New Roman"/>
          <w:sz w:val="24"/>
          <w:szCs w:val="24"/>
        </w:rPr>
        <w:t xml:space="preserve"> &amp; Newby, 2013). When the Common Core State Standards uses one of its eight </w:t>
      </w:r>
      <w:r w:rsidRPr="001A25AC">
        <w:rPr>
          <w:rFonts w:ascii="Times New Roman" w:hAnsi="Times New Roman" w:cs="Times New Roman"/>
          <w:sz w:val="24"/>
          <w:szCs w:val="24"/>
        </w:rPr>
        <w:lastRenderedPageBreak/>
        <w:t>Standards for Mathematical Practice to encourage students to “look for and make use of Structure,” they are leveraging the idea of transference (Common Core State Standards Initiative, n.d.). Transference occurs when situations characterized by identical or similar features facilitate the transfer of knowledgeable behaviors across shared elements (</w:t>
      </w:r>
      <w:proofErr w:type="spellStart"/>
      <w:r w:rsidRPr="001A25AC">
        <w:rPr>
          <w:rFonts w:ascii="Times New Roman" w:hAnsi="Times New Roman" w:cs="Times New Roman"/>
          <w:sz w:val="24"/>
          <w:szCs w:val="24"/>
        </w:rPr>
        <w:t>Ertmer</w:t>
      </w:r>
      <w:proofErr w:type="spellEnd"/>
      <w:r w:rsidRPr="001A25AC">
        <w:rPr>
          <w:rFonts w:ascii="Times New Roman" w:hAnsi="Times New Roman" w:cs="Times New Roman"/>
          <w:sz w:val="24"/>
          <w:szCs w:val="24"/>
        </w:rPr>
        <w:t xml:space="preserve"> &amp; Newby, 2013). Like transference, the cognitive process known as adaptive expertise is a highly valued feature of mathematical thinking.</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In contrast to routine expertise, adaptive expertise is characterized by interconnected procedural and conceptual knowledge that can be flexibly</w:t>
      </w:r>
      <w:r w:rsidRPr="001A25AC">
        <w:rPr>
          <w:rFonts w:ascii="Times New Roman" w:hAnsi="Times New Roman" w:cs="Times New Roman"/>
          <w:sz w:val="24"/>
          <w:szCs w:val="24"/>
        </w:rPr>
        <w:t xml:space="preserve"> employed in unfamiliar situations (McMullen et al., 2021). Adaptive expertise is noted for increasing procedural flexibility with whole numbers, rational numbers, and linear algebra. Students who were taught rote, siloed algorithms (such as </w:t>
      </w:r>
      <w:r w:rsidRPr="001A25AC">
        <w:rPr>
          <w:rFonts w:ascii="Times New Roman" w:hAnsi="Times New Roman" w:cs="Times New Roman"/>
          <w:i/>
          <w:iCs/>
          <w:sz w:val="24"/>
          <w:szCs w:val="24"/>
        </w:rPr>
        <w:t>keep it, change it, flip it</w:t>
      </w:r>
      <w:r w:rsidRPr="001A25AC">
        <w:rPr>
          <w:rFonts w:ascii="Times New Roman" w:hAnsi="Times New Roman" w:cs="Times New Roman"/>
          <w:sz w:val="24"/>
          <w:szCs w:val="24"/>
        </w:rPr>
        <w:t xml:space="preserve"> for fraction division), and procedural shortcuts (such as </w:t>
      </w:r>
      <w:r w:rsidRPr="001A25AC">
        <w:rPr>
          <w:rFonts w:ascii="Times New Roman" w:hAnsi="Times New Roman" w:cs="Times New Roman"/>
          <w:i/>
          <w:iCs/>
          <w:sz w:val="24"/>
          <w:szCs w:val="24"/>
        </w:rPr>
        <w:t>moving the decimal</w:t>
      </w:r>
      <w:r w:rsidRPr="001A25AC">
        <w:rPr>
          <w:rFonts w:ascii="Times New Roman" w:hAnsi="Times New Roman" w:cs="Times New Roman"/>
          <w:sz w:val="24"/>
          <w:szCs w:val="24"/>
        </w:rPr>
        <w:t xml:space="preserve"> for multiplication and division) are denied the opportunity to socially construct the expertise necessary for future mathematical domains. Intuitive place value knowledge is a prerequisite for adaptive expertise and transference to occur.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Similarly, Agarwal and Bain (2019) advocated for multiple learning strategies in "Powerful Teaching: Unleash the Science of Learning." Among these strategies are two practices calle</w:t>
      </w:r>
      <w:r w:rsidRPr="001A25AC">
        <w:rPr>
          <w:rFonts w:ascii="Times New Roman" w:hAnsi="Times New Roman" w:cs="Times New Roman"/>
          <w:sz w:val="24"/>
          <w:szCs w:val="24"/>
        </w:rPr>
        <w:t>d retrieval and interleaving. Retrieval involves the skilled extraction of information from students</w:t>
      </w:r>
      <w:r w:rsidR="00F53672">
        <w:rPr>
          <w:rFonts w:ascii="Times New Roman" w:hAnsi="Times New Roman" w:cs="Times New Roman"/>
          <w:sz w:val="24"/>
          <w:szCs w:val="24"/>
        </w:rPr>
        <w:t>’</w:t>
      </w:r>
      <w:r w:rsidRPr="001A25AC">
        <w:rPr>
          <w:rFonts w:ascii="Times New Roman" w:hAnsi="Times New Roman" w:cs="Times New Roman"/>
          <w:sz w:val="24"/>
          <w:szCs w:val="24"/>
        </w:rPr>
        <w:t xml:space="preserve"> knowledge reservoirs, in contrast to the act of cramming information into them. Interleaving involves mixing closely related topics and encouraging students to draw comparisons and distinctions between the two (Agarwal &amp; Bain, 2019).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Recall the CPA (concrete-pictorial-abstract) method of constructing mathematical understanding to understand the importance of retrieval. Rather than stand up at the chalkboar</w:t>
      </w:r>
      <w:r w:rsidRPr="001A25AC">
        <w:rPr>
          <w:rFonts w:ascii="Times New Roman" w:hAnsi="Times New Roman" w:cs="Times New Roman"/>
          <w:sz w:val="24"/>
          <w:szCs w:val="24"/>
        </w:rPr>
        <w:t>d and drill algorithms into students</w:t>
      </w:r>
      <w:r w:rsidR="00F53672">
        <w:rPr>
          <w:rFonts w:ascii="Times New Roman" w:hAnsi="Times New Roman" w:cs="Times New Roman"/>
          <w:sz w:val="24"/>
          <w:szCs w:val="24"/>
        </w:rPr>
        <w:t>’</w:t>
      </w:r>
      <w:r w:rsidRPr="001A25AC">
        <w:rPr>
          <w:rFonts w:ascii="Times New Roman" w:hAnsi="Times New Roman" w:cs="Times New Roman"/>
          <w:sz w:val="24"/>
          <w:szCs w:val="24"/>
        </w:rPr>
        <w:t xml:space="preserve"> heads, a CPA-trained teacher encourages students to use prior </w:t>
      </w:r>
      <w:r w:rsidRPr="001A25AC">
        <w:rPr>
          <w:rFonts w:ascii="Times New Roman" w:hAnsi="Times New Roman" w:cs="Times New Roman"/>
          <w:sz w:val="24"/>
          <w:szCs w:val="24"/>
        </w:rPr>
        <w:lastRenderedPageBreak/>
        <w:t xml:space="preserve">stages of learning to personally and actively construct conceptualization and consequently imbue meaning to the third and final abstract algorithmic stage. A typical example (shown in Figure 1) highlights the conceptual underpinnings of equivalent fractions when adding or subtracting fractions with unlike denominators. When a student draws a bar model to represent  </w:t>
      </w:r>
      <m:oMath>
        <m:f>
          <m:fPr>
            <m:ctrlPr>
              <w:rPr>
                <w:rFonts w:ascii="Cambria Math" w:hAnsi="Cambria Math" w:cs="Times New Roman"/>
                <w:sz w:val="25"/>
                <w:szCs w:val="25"/>
              </w:rPr>
            </m:ctrlPr>
          </m:fPr>
          <m:num>
            <m:r>
              <m:rPr>
                <m:sty m:val="p"/>
              </m:rPr>
              <w:rPr>
                <w:rFonts w:ascii="Cambria Math" w:hAnsi="Cambria Math" w:cs="Times New Roman"/>
                <w:sz w:val="25"/>
                <w:szCs w:val="25"/>
              </w:rPr>
              <m:t>2</m:t>
            </m:r>
          </m:num>
          <m:den>
            <m:r>
              <m:rPr>
                <m:sty m:val="p"/>
              </m:rPr>
              <w:rPr>
                <w:rFonts w:ascii="Cambria Math" w:hAnsi="Cambria Math" w:cs="Times New Roman"/>
                <w:sz w:val="25"/>
                <w:szCs w:val="25"/>
              </w:rPr>
              <m:t>3</m:t>
            </m:r>
          </m:den>
        </m:f>
      </m:oMath>
      <w:r w:rsidRPr="00225166">
        <w:rPr>
          <w:rFonts w:ascii="Times New Roman" w:hAnsi="Times New Roman" w:cs="Times New Roman"/>
          <w:sz w:val="24"/>
          <w:szCs w:val="24"/>
        </w:rPr>
        <w:t xml:space="preserve"> + </w:t>
      </w:r>
      <m:oMath>
        <m:f>
          <m:fPr>
            <m:ctrlPr>
              <w:rPr>
                <w:rFonts w:ascii="Cambria Math" w:hAnsi="Cambria Math" w:cs="Times New Roman"/>
                <w:sz w:val="25"/>
                <w:szCs w:val="25"/>
              </w:rPr>
            </m:ctrlPr>
          </m:fPr>
          <m:num>
            <m:r>
              <m:rPr>
                <m:sty m:val="p"/>
              </m:rPr>
              <w:rPr>
                <w:rFonts w:ascii="Cambria Math" w:hAnsi="Cambria Math" w:cs="Times New Roman"/>
                <w:sz w:val="25"/>
                <w:szCs w:val="25"/>
              </w:rPr>
              <m:t>1</m:t>
            </m:r>
          </m:num>
          <m:den>
            <m:r>
              <m:rPr>
                <m:sty m:val="p"/>
              </m:rPr>
              <w:rPr>
                <w:rFonts w:ascii="Cambria Math" w:hAnsi="Cambria Math" w:cs="Times New Roman"/>
                <w:sz w:val="25"/>
                <w:szCs w:val="25"/>
              </w:rPr>
              <m:t>6</m:t>
            </m:r>
          </m:den>
        </m:f>
      </m:oMath>
      <w:r w:rsidRPr="00225166">
        <w:rPr>
          <w:rFonts w:ascii="Times New Roman" w:hAnsi="Times New Roman" w:cs="Times New Roman"/>
          <w:sz w:val="24"/>
          <w:szCs w:val="24"/>
        </w:rPr>
        <w:t xml:space="preserve"> she is revisiting the pictorial stage to imbue meaning to the abstract stage. In this example, the importance of only adding quantities of the</w:t>
      </w:r>
      <w:r w:rsidRPr="004421BB">
        <w:rPr>
          <w:rFonts w:ascii="Times New Roman" w:hAnsi="Times New Roman" w:cs="Times New Roman"/>
          <w:sz w:val="24"/>
          <w:szCs w:val="24"/>
        </w:rPr>
        <w:t xml:space="preserve"> same relative (ratio) size is illustrated in the pictorial representation of the equivalent fractions </w:t>
      </w:r>
      <m:oMath>
        <m:f>
          <m:fPr>
            <m:ctrlPr>
              <w:rPr>
                <w:rFonts w:ascii="Cambria Math" w:hAnsi="Cambria Math" w:cs="Times New Roman"/>
                <w:sz w:val="25"/>
                <w:szCs w:val="25"/>
              </w:rPr>
            </m:ctrlPr>
          </m:fPr>
          <m:num>
            <m:r>
              <m:rPr>
                <m:sty m:val="p"/>
              </m:rPr>
              <w:rPr>
                <w:rFonts w:ascii="Cambria Math" w:hAnsi="Cambria Math" w:cs="Times New Roman"/>
                <w:sz w:val="25"/>
                <w:szCs w:val="25"/>
              </w:rPr>
              <m:t>2</m:t>
            </m:r>
          </m:num>
          <m:den>
            <m:r>
              <m:rPr>
                <m:sty m:val="p"/>
              </m:rPr>
              <w:rPr>
                <w:rFonts w:ascii="Cambria Math" w:hAnsi="Cambria Math" w:cs="Times New Roman"/>
                <w:sz w:val="25"/>
                <w:szCs w:val="25"/>
              </w:rPr>
              <m:t>3</m:t>
            </m:r>
          </m:den>
        </m:f>
      </m:oMath>
      <w:r w:rsidRPr="00225166">
        <w:rPr>
          <w:rFonts w:ascii="Times New Roman" w:hAnsi="Times New Roman" w:cs="Times New Roman"/>
          <w:sz w:val="24"/>
          <w:szCs w:val="24"/>
        </w:rPr>
        <w:t xml:space="preserve"> and </w:t>
      </w:r>
      <m:oMath>
        <m:f>
          <m:fPr>
            <m:ctrlPr>
              <w:rPr>
                <w:rFonts w:ascii="Cambria Math" w:hAnsi="Cambria Math" w:cs="Times New Roman"/>
                <w:sz w:val="25"/>
                <w:szCs w:val="25"/>
              </w:rPr>
            </m:ctrlPr>
          </m:fPr>
          <m:num>
            <m:r>
              <m:rPr>
                <m:sty m:val="p"/>
              </m:rPr>
              <w:rPr>
                <w:rFonts w:ascii="Cambria Math" w:hAnsi="Cambria Math" w:cs="Times New Roman"/>
                <w:sz w:val="25"/>
                <w:szCs w:val="25"/>
              </w:rPr>
              <m:t>4</m:t>
            </m:r>
          </m:num>
          <m:den>
            <m:r>
              <m:rPr>
                <m:sty m:val="p"/>
              </m:rPr>
              <w:rPr>
                <w:rFonts w:ascii="Cambria Math" w:hAnsi="Cambria Math" w:cs="Times New Roman"/>
                <w:sz w:val="25"/>
                <w:szCs w:val="25"/>
              </w:rPr>
              <m:t>6</m:t>
            </m:r>
          </m:den>
        </m:f>
      </m:oMath>
      <w:r w:rsidRPr="00225166">
        <w:rPr>
          <w:rFonts w:ascii="Times New Roman" w:hAnsi="Times New Roman" w:cs="Times New Roman"/>
          <w:sz w:val="24"/>
          <w:szCs w:val="24"/>
        </w:rPr>
        <w:t xml:space="preserve"> . As a student internalizes this concept, she will be able to reason abstractly to find an equivalent fraction, e.g., </w:t>
      </w:r>
      <m:oMath>
        <m:f>
          <m:fPr>
            <m:ctrlPr>
              <w:rPr>
                <w:rFonts w:ascii="Cambria Math" w:hAnsi="Cambria Math" w:cs="Times New Roman"/>
                <w:sz w:val="25"/>
                <w:szCs w:val="25"/>
              </w:rPr>
            </m:ctrlPr>
          </m:fPr>
          <m:num>
            <m:r>
              <m:rPr>
                <m:sty m:val="p"/>
              </m:rPr>
              <w:rPr>
                <w:rFonts w:ascii="Cambria Math" w:hAnsi="Cambria Math" w:cs="Times New Roman"/>
                <w:sz w:val="25"/>
                <w:szCs w:val="25"/>
              </w:rPr>
              <m:t>2</m:t>
            </m:r>
          </m:num>
          <m:den>
            <m:r>
              <m:rPr>
                <m:sty m:val="p"/>
              </m:rPr>
              <w:rPr>
                <w:rFonts w:ascii="Cambria Math" w:hAnsi="Cambria Math" w:cs="Times New Roman"/>
                <w:sz w:val="25"/>
                <w:szCs w:val="25"/>
              </w:rPr>
              <m:t>3</m:t>
            </m:r>
          </m:den>
        </m:f>
        <m:r>
          <m:rPr>
            <m:sty m:val="p"/>
          </m:rPr>
          <w:rPr>
            <w:rFonts w:ascii="Cambria Math" w:hAnsi="Cambria Math" w:cs="Times New Roman"/>
            <w:sz w:val="25"/>
            <w:szCs w:val="25"/>
          </w:rPr>
          <m:t>×</m:t>
        </m:r>
        <m:f>
          <m:fPr>
            <m:ctrlPr>
              <w:rPr>
                <w:rFonts w:ascii="Cambria Math" w:hAnsi="Cambria Math" w:cs="Times New Roman"/>
                <w:sz w:val="25"/>
                <w:szCs w:val="25"/>
              </w:rPr>
            </m:ctrlPr>
          </m:fPr>
          <m:num>
            <m:r>
              <m:rPr>
                <m:sty m:val="p"/>
              </m:rPr>
              <w:rPr>
                <w:rFonts w:ascii="Cambria Math" w:hAnsi="Cambria Math" w:cs="Times New Roman"/>
                <w:sz w:val="25"/>
                <w:szCs w:val="25"/>
              </w:rPr>
              <m:t>2</m:t>
            </m:r>
          </m:num>
          <m:den>
            <m:r>
              <m:rPr>
                <m:sty m:val="p"/>
              </m:rPr>
              <w:rPr>
                <w:rFonts w:ascii="Cambria Math" w:hAnsi="Cambria Math" w:cs="Times New Roman"/>
                <w:sz w:val="25"/>
                <w:szCs w:val="25"/>
              </w:rPr>
              <m:t>2</m:t>
            </m:r>
          </m:den>
        </m:f>
      </m:oMath>
      <w:r w:rsidRPr="00225166">
        <w:rPr>
          <w:rFonts w:ascii="Times New Roman" w:hAnsi="Times New Roman" w:cs="Times New Roman"/>
          <w:sz w:val="24"/>
          <w:szCs w:val="24"/>
        </w:rPr>
        <w:t xml:space="preserve"> </w:t>
      </w:r>
      <m:oMath>
        <m:r>
          <w:rPr>
            <w:rFonts w:ascii="Cambria Math" w:hAnsi="Cambria Math" w:cs="Times New Roman"/>
            <w:sz w:val="25"/>
            <w:szCs w:val="25"/>
          </w:rPr>
          <m:t>=</m:t>
        </m:r>
      </m:oMath>
      <w:r w:rsidRPr="00225166">
        <w:rPr>
          <w:rFonts w:ascii="Times New Roman" w:hAnsi="Times New Roman" w:cs="Times New Roman"/>
          <w:sz w:val="24"/>
          <w:szCs w:val="24"/>
        </w:rPr>
        <w:t xml:space="preserve"> </w:t>
      </w:r>
      <m:oMath>
        <m:f>
          <m:fPr>
            <m:ctrlPr>
              <w:rPr>
                <w:rFonts w:ascii="Cambria Math" w:hAnsi="Cambria Math" w:cs="Times New Roman"/>
                <w:sz w:val="25"/>
                <w:szCs w:val="25"/>
              </w:rPr>
            </m:ctrlPr>
          </m:fPr>
          <m:num>
            <m:r>
              <m:rPr>
                <m:sty m:val="p"/>
              </m:rPr>
              <w:rPr>
                <w:rFonts w:ascii="Cambria Math" w:hAnsi="Cambria Math" w:cs="Times New Roman"/>
                <w:sz w:val="25"/>
                <w:szCs w:val="25"/>
              </w:rPr>
              <m:t>4</m:t>
            </m:r>
          </m:num>
          <m:den>
            <m:r>
              <m:rPr>
                <m:sty m:val="p"/>
              </m:rPr>
              <w:rPr>
                <w:rFonts w:ascii="Cambria Math" w:hAnsi="Cambria Math" w:cs="Times New Roman"/>
                <w:sz w:val="25"/>
                <w:szCs w:val="25"/>
              </w:rPr>
              <m:t>6</m:t>
            </m:r>
          </m:den>
        </m:f>
      </m:oMath>
      <w:r w:rsidRPr="00225166">
        <w:rPr>
          <w:rFonts w:ascii="Times New Roman" w:hAnsi="Times New Roman" w:cs="Times New Roman"/>
          <w:sz w:val="24"/>
          <w:szCs w:val="24"/>
        </w:rPr>
        <w:t xml:space="preserve"> . Retrieval in action looks like encouraging elementary students to explore concrete (with math manipulatives like base ten blocks) and pictorial stages for every new abstract skill, from adding fractions to subtracting across zeros to the multiplication algorithm to lo</w:t>
      </w:r>
      <w:r w:rsidRPr="004421BB">
        <w:rPr>
          <w:rFonts w:ascii="Times New Roman" w:hAnsi="Times New Roman" w:cs="Times New Roman"/>
          <w:sz w:val="24"/>
          <w:szCs w:val="24"/>
        </w:rPr>
        <w:t>ng division and so on.</w:t>
      </w:r>
    </w:p>
    <w:p w:rsidR="00556DEB" w:rsidRPr="00225166" w:rsidRDefault="000F31CF">
      <w:pPr>
        <w:pStyle w:val="Body"/>
        <w:spacing w:line="480" w:lineRule="auto"/>
        <w:rPr>
          <w:rFonts w:ascii="Times New Roman" w:eastAsia="Times New Roman" w:hAnsi="Times New Roman" w:cs="Times New Roman"/>
          <w:b/>
          <w:bCs/>
          <w:sz w:val="24"/>
          <w:szCs w:val="24"/>
        </w:rPr>
      </w:pPr>
      <w:r w:rsidRPr="004421BB">
        <w:rPr>
          <w:rFonts w:ascii="Times New Roman" w:hAnsi="Times New Roman" w:cs="Times New Roman"/>
          <w:b/>
          <w:bCs/>
          <w:sz w:val="24"/>
          <w:szCs w:val="24"/>
          <w:lang w:val="it-IT"/>
        </w:rPr>
        <w:t xml:space="preserve">Figure </w:t>
      </w:r>
      <w:r w:rsidRPr="004421BB">
        <w:rPr>
          <w:rFonts w:ascii="Times New Roman" w:hAnsi="Times New Roman" w:cs="Times New Roman"/>
          <w:b/>
          <w:bCs/>
          <w:sz w:val="24"/>
          <w:szCs w:val="24"/>
        </w:rPr>
        <w:t>1</w:t>
      </w:r>
    </w:p>
    <w:p w:rsidR="00556DEB" w:rsidRPr="00225166" w:rsidRDefault="000F31CF">
      <w:pPr>
        <w:pStyle w:val="Body"/>
        <w:spacing w:line="480" w:lineRule="auto"/>
        <w:rPr>
          <w:rFonts w:ascii="Times New Roman" w:eastAsia="Times New Roman" w:hAnsi="Times New Roman" w:cs="Times New Roman"/>
          <w:i/>
          <w:iCs/>
          <w:sz w:val="24"/>
          <w:szCs w:val="24"/>
        </w:rPr>
      </w:pPr>
      <w:r w:rsidRPr="004421BB">
        <w:rPr>
          <w:rFonts w:ascii="Times New Roman" w:hAnsi="Times New Roman" w:cs="Times New Roman"/>
          <w:i/>
          <w:iCs/>
          <w:sz w:val="24"/>
          <w:szCs w:val="24"/>
        </w:rPr>
        <w:t xml:space="preserve">CPA Example of Abstract Fraction Addition Tethered to Pictorial Representation </w:t>
      </w:r>
    </w:p>
    <w:p w:rsidR="00556DEB" w:rsidRPr="00225166" w:rsidRDefault="000F31CF">
      <w:pPr>
        <w:pStyle w:val="Body"/>
        <w:spacing w:line="480" w:lineRule="auto"/>
        <w:rPr>
          <w:rFonts w:ascii="Times New Roman" w:eastAsia="Times New Roman" w:hAnsi="Times New Roman" w:cs="Times New Roman"/>
          <w:b/>
          <w:bCs/>
          <w:sz w:val="24"/>
          <w:szCs w:val="24"/>
        </w:rPr>
      </w:pPr>
      <w:r w:rsidRPr="00225166">
        <w:rPr>
          <w:rFonts w:ascii="Times New Roman" w:eastAsia="Times New Roman" w:hAnsi="Times New Roman" w:cs="Times New Roman"/>
          <w:b/>
          <w:bCs/>
          <w:noProof/>
          <w:sz w:val="24"/>
          <w:szCs w:val="24"/>
        </w:rPr>
        <w:drawing>
          <wp:inline distT="0" distB="0" distL="0" distR="0">
            <wp:extent cx="5943600" cy="334010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9"/>
                    <a:stretch>
                      <a:fillRect/>
                    </a:stretch>
                  </pic:blipFill>
                  <pic:spPr>
                    <a:xfrm>
                      <a:off x="0" y="0"/>
                      <a:ext cx="5943600" cy="3340100"/>
                    </a:xfrm>
                    <a:prstGeom prst="rect">
                      <a:avLst/>
                    </a:prstGeom>
                    <a:ln w="12700" cap="flat">
                      <a:noFill/>
                      <a:miter lim="400000"/>
                    </a:ln>
                    <a:effectLst/>
                  </pic:spPr>
                </pic:pic>
              </a:graphicData>
            </a:graphic>
          </wp:inline>
        </w:drawing>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225166">
        <w:rPr>
          <w:rFonts w:ascii="Times New Roman" w:hAnsi="Times New Roman" w:cs="Times New Roman"/>
          <w:sz w:val="24"/>
          <w:szCs w:val="24"/>
        </w:rPr>
        <w:lastRenderedPageBreak/>
        <w:t>The learning theory of interleaving, or mixing up closely related topics, is leveraged as students compare and contrast whole number sense and</w:t>
      </w:r>
      <w:r w:rsidRPr="004421BB">
        <w:rPr>
          <w:rFonts w:ascii="Times New Roman" w:hAnsi="Times New Roman" w:cs="Times New Roman"/>
          <w:sz w:val="24"/>
          <w:szCs w:val="24"/>
        </w:rPr>
        <w:t xml:space="preserve"> operations with rational number sense and operations (Agarwal &amp; Bain, 2019). Interleaving in the context of whole and rational numbers might look like asking students why the product of rational numbers is often smaller than its factors when the reverse i</w:t>
      </w:r>
      <w:r w:rsidRPr="001A25AC">
        <w:rPr>
          <w:rFonts w:ascii="Times New Roman" w:hAnsi="Times New Roman" w:cs="Times New Roman"/>
          <w:sz w:val="24"/>
          <w:szCs w:val="24"/>
        </w:rPr>
        <w:t>s true for whole numbers or what might have caused the directionality error in a fictitious student</w:t>
      </w:r>
      <w:r w:rsidR="00F53672">
        <w:rPr>
          <w:rFonts w:ascii="Times New Roman" w:hAnsi="Times New Roman" w:cs="Times New Roman"/>
          <w:sz w:val="24"/>
          <w:szCs w:val="24"/>
          <w:rtl/>
        </w:rPr>
        <w:t>’</w:t>
      </w:r>
      <w:r w:rsidRPr="00225166">
        <w:rPr>
          <w:rFonts w:ascii="Times New Roman" w:hAnsi="Times New Roman" w:cs="Times New Roman"/>
          <w:sz w:val="24"/>
          <w:szCs w:val="24"/>
        </w:rPr>
        <w:t>s negative number line. Encouraging students to revisit natural numbers and comprehend their own natural number bias enables them to assess and contrast pri</w:t>
      </w:r>
      <w:r w:rsidRPr="004421BB">
        <w:rPr>
          <w:rFonts w:ascii="Times New Roman" w:hAnsi="Times New Roman" w:cs="Times New Roman"/>
          <w:sz w:val="24"/>
          <w:szCs w:val="24"/>
        </w:rPr>
        <w:t>or foundational knowledge regularly. This allows them to incorporate a whole new number sense—</w:t>
      </w:r>
      <w:r w:rsidRPr="001A25AC">
        <w:rPr>
          <w:rFonts w:ascii="Times New Roman" w:hAnsi="Times New Roman" w:cs="Times New Roman"/>
          <w:sz w:val="24"/>
          <w:szCs w:val="24"/>
          <w:lang w:val="fr-FR"/>
        </w:rPr>
        <w:t>rational</w:t>
      </w:r>
      <w:r w:rsidRPr="001A25AC">
        <w:rPr>
          <w:rFonts w:ascii="Times New Roman" w:hAnsi="Times New Roman" w:cs="Times New Roman"/>
          <w:sz w:val="24"/>
          <w:szCs w:val="24"/>
        </w:rPr>
        <w:t>—into their cognitive repertoire. To quote a famous childhood organization</w:t>
      </w:r>
      <w:r w:rsidR="00F53672">
        <w:rPr>
          <w:rFonts w:ascii="Times New Roman" w:hAnsi="Times New Roman" w:cs="Times New Roman"/>
          <w:sz w:val="24"/>
          <w:szCs w:val="24"/>
        </w:rPr>
        <w:t>’</w:t>
      </w:r>
      <w:r w:rsidRPr="001A25AC">
        <w:rPr>
          <w:rFonts w:ascii="Times New Roman" w:hAnsi="Times New Roman" w:cs="Times New Roman"/>
          <w:sz w:val="24"/>
          <w:szCs w:val="24"/>
          <w:lang w:val="it-IT"/>
        </w:rPr>
        <w:t xml:space="preserve">s motto, </w:t>
      </w:r>
      <w:r w:rsidRPr="001A25AC">
        <w:rPr>
          <w:rFonts w:ascii="Times New Roman" w:hAnsi="Times New Roman" w:cs="Times New Roman"/>
          <w:i/>
          <w:iCs/>
          <w:sz w:val="24"/>
          <w:szCs w:val="24"/>
        </w:rPr>
        <w:t>make new friends, but keep the old; one is silver, and the other</w:t>
      </w:r>
      <w:r w:rsidR="00F53672">
        <w:rPr>
          <w:rFonts w:ascii="Times New Roman" w:hAnsi="Times New Roman" w:cs="Times New Roman"/>
          <w:i/>
          <w:iCs/>
          <w:sz w:val="24"/>
          <w:szCs w:val="24"/>
        </w:rPr>
        <w:t>’</w:t>
      </w:r>
      <w:r w:rsidRPr="001A25AC">
        <w:rPr>
          <w:rFonts w:ascii="Times New Roman" w:hAnsi="Times New Roman" w:cs="Times New Roman"/>
          <w:i/>
          <w:iCs/>
          <w:sz w:val="24"/>
          <w:szCs w:val="24"/>
        </w:rPr>
        <w:t>s gold</w:t>
      </w:r>
      <w:r w:rsidRPr="001A25AC">
        <w:rPr>
          <w:rFonts w:ascii="Times New Roman" w:hAnsi="Times New Roman" w:cs="Times New Roman"/>
          <w:sz w:val="24"/>
          <w:szCs w:val="24"/>
        </w:rPr>
        <w:t>.</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Furthermore, the strategy of “friendly numbers” allows students to leverage their intuitive natural number sense to understand rational number word problems. For example, when given a word problem with rational numbers, many students (and adults) experi</w:t>
      </w:r>
      <w:r w:rsidRPr="001A25AC">
        <w:rPr>
          <w:rFonts w:ascii="Times New Roman" w:hAnsi="Times New Roman" w:cs="Times New Roman"/>
          <w:sz w:val="24"/>
          <w:szCs w:val="24"/>
        </w:rPr>
        <w:t xml:space="preserve">ence confusion and anxiety upon seeing non-natural numbers, such that it prevents them from making a plan to solve the problem. Consider the following word problem: </w:t>
      </w:r>
      <w:r w:rsidRPr="001A25AC">
        <w:rPr>
          <w:rFonts w:ascii="Times New Roman" w:hAnsi="Times New Roman" w:cs="Times New Roman"/>
          <w:i/>
          <w:iCs/>
          <w:sz w:val="24"/>
          <w:szCs w:val="24"/>
        </w:rPr>
        <w:t xml:space="preserve">Anna has 8 liters of juice which she would like to pour evenly into </w:t>
      </w:r>
      <w:r w:rsidR="00FD680F" w:rsidRPr="00225166">
        <w:rPr>
          <w:rFonts w:ascii="Times New Roman" w:eastAsia="Times" w:hAnsi="Times New Roman" w:cs="Times New Roman"/>
          <w:i/>
          <w:sz w:val="24"/>
          <w:szCs w:val="24"/>
        </w:rPr>
        <w:t>⅕</w:t>
      </w:r>
      <w:r w:rsidRPr="00225166">
        <w:rPr>
          <w:rFonts w:ascii="Times New Roman" w:hAnsi="Times New Roman" w:cs="Times New Roman"/>
          <w:i/>
          <w:iCs/>
          <w:sz w:val="24"/>
          <w:szCs w:val="24"/>
        </w:rPr>
        <w:t>-liter cups. How many cups can Anna fill?</w:t>
      </w:r>
      <w:r w:rsidRPr="00225166">
        <w:rPr>
          <w:rFonts w:ascii="Times New Roman" w:hAnsi="Times New Roman" w:cs="Times New Roman"/>
          <w:sz w:val="24"/>
          <w:szCs w:val="24"/>
        </w:rPr>
        <w:t xml:space="preserve"> The inclusion of the rational number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oMath>
      <w:r w:rsidRPr="00225166">
        <w:rPr>
          <w:rFonts w:ascii="Times New Roman" w:hAnsi="Times New Roman" w:cs="Times New Roman"/>
          <w:sz w:val="24"/>
          <w:szCs w:val="24"/>
        </w:rPr>
        <w:t xml:space="preserve"> prevents students from using their natural number intuition to solve this problem. However, if we temporarily substitute a “friendly” or whole number for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oMath>
      <w:r w:rsidRPr="00225166">
        <w:rPr>
          <w:rFonts w:ascii="Times New Roman" w:hAnsi="Times New Roman" w:cs="Times New Roman"/>
          <w:sz w:val="24"/>
          <w:szCs w:val="24"/>
        </w:rPr>
        <w:t>, such as 2, we can easily decide which oper</w:t>
      </w:r>
      <w:r w:rsidRPr="004421BB">
        <w:rPr>
          <w:rFonts w:ascii="Times New Roman" w:hAnsi="Times New Roman" w:cs="Times New Roman"/>
          <w:sz w:val="24"/>
          <w:szCs w:val="24"/>
        </w:rPr>
        <w:t xml:space="preserve">ation to use. </w:t>
      </w:r>
      <w:r w:rsidRPr="004421BB">
        <w:rPr>
          <w:rFonts w:ascii="Times New Roman" w:hAnsi="Times New Roman" w:cs="Times New Roman"/>
          <w:i/>
          <w:iCs/>
          <w:sz w:val="24"/>
          <w:szCs w:val="24"/>
        </w:rPr>
        <w:t xml:space="preserve">Anna has 8 liters of juice, which she would like to pour evenly into 2-liter cups. How many cups can Anna fill? </w:t>
      </w:r>
      <w:r w:rsidRPr="001A25AC">
        <w:rPr>
          <w:rFonts w:ascii="Times New Roman" w:hAnsi="Times New Roman" w:cs="Times New Roman"/>
          <w:sz w:val="24"/>
          <w:szCs w:val="24"/>
        </w:rPr>
        <w:t xml:space="preserve">This problem now becomes one that an average third-grader could solve mentally. Based on anecdotal data, when using this strategy with sixth-graders, they are quite excited to shout "Four!" When asked what operation they used, they think back to pouring 8 liters into 2-liter cups and say, "Division!" The interleaving of </w:t>
      </w:r>
      <w:r w:rsidRPr="001A25AC">
        <w:rPr>
          <w:rFonts w:ascii="Times New Roman" w:hAnsi="Times New Roman" w:cs="Times New Roman"/>
          <w:sz w:val="24"/>
          <w:szCs w:val="24"/>
        </w:rPr>
        <w:lastRenderedPageBreak/>
        <w:t xml:space="preserve">whole and rational number sense has provided a procedural roadmap. This </w:t>
      </w:r>
      <w:r w:rsidRPr="001A25AC">
        <w:rPr>
          <w:rFonts w:ascii="Times New Roman" w:hAnsi="Times New Roman" w:cs="Times New Roman"/>
          <w:sz w:val="24"/>
          <w:szCs w:val="24"/>
          <w:lang w:val="fr-FR"/>
        </w:rPr>
        <w:t>inter-</w:t>
      </w:r>
      <w:proofErr w:type="spellStart"/>
      <w:r w:rsidRPr="001A25AC">
        <w:rPr>
          <w:rFonts w:ascii="Times New Roman" w:hAnsi="Times New Roman" w:cs="Times New Roman"/>
          <w:sz w:val="24"/>
          <w:szCs w:val="24"/>
          <w:lang w:val="fr-FR"/>
        </w:rPr>
        <w:t>domain</w:t>
      </w:r>
      <w:proofErr w:type="spellEnd"/>
      <w:r w:rsidRPr="001A25AC">
        <w:rPr>
          <w:rFonts w:ascii="Times New Roman" w:hAnsi="Times New Roman" w:cs="Times New Roman"/>
          <w:sz w:val="24"/>
          <w:szCs w:val="24"/>
          <w:lang w:val="fr-FR"/>
        </w:rPr>
        <w:t xml:space="preserve"> </w:t>
      </w:r>
      <w:r w:rsidRPr="001A25AC">
        <w:rPr>
          <w:rFonts w:ascii="Times New Roman" w:hAnsi="Times New Roman" w:cs="Times New Roman"/>
          <w:sz w:val="24"/>
          <w:szCs w:val="24"/>
        </w:rPr>
        <w:t xml:space="preserve">scaffold enables them to replace the original number in the problem and solve it correctly: 8 </w:t>
      </w:r>
      <m:oMath>
        <m:r>
          <w:rPr>
            <w:rFonts w:ascii="Cambria Math" w:hAnsi="Cambria Math" w:cs="Times New Roman"/>
            <w:sz w:val="25"/>
            <w:szCs w:val="25"/>
          </w:rPr>
          <m:t>÷</m:t>
        </m:r>
      </m:oMath>
      <w:r w:rsidRPr="001A25AC">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oMath>
      <w:r w:rsidRPr="00225166">
        <w:rPr>
          <w:rFonts w:ascii="Times New Roman" w:hAnsi="Times New Roman" w:cs="Times New Roman"/>
          <w:sz w:val="24"/>
          <w:szCs w:val="24"/>
        </w:rPr>
        <w:t xml:space="preserve"> = 40 cups.  </w:t>
      </w:r>
    </w:p>
    <w:p w:rsidR="00556DEB" w:rsidRPr="00225166" w:rsidRDefault="000F31CF">
      <w:pPr>
        <w:pStyle w:val="Body"/>
        <w:spacing w:line="480" w:lineRule="auto"/>
        <w:rPr>
          <w:rFonts w:ascii="Times New Roman" w:eastAsia="Times New Roman" w:hAnsi="Times New Roman" w:cs="Times New Roman"/>
          <w:b/>
          <w:bCs/>
          <w:sz w:val="24"/>
          <w:szCs w:val="24"/>
        </w:rPr>
      </w:pPr>
      <w:r w:rsidRPr="004421BB">
        <w:rPr>
          <w:rFonts w:ascii="Times New Roman" w:hAnsi="Times New Roman" w:cs="Times New Roman"/>
          <w:b/>
          <w:bCs/>
          <w:sz w:val="24"/>
          <w:szCs w:val="24"/>
        </w:rPr>
        <w:t>Teacher Preparation</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Humanizing rational numbers for first-year middle schoolers must also address the issue of teacher preparedness in terms of rational number teaching. </w:t>
      </w:r>
      <w:proofErr w:type="spellStart"/>
      <w:r w:rsidRPr="004421BB">
        <w:rPr>
          <w:rFonts w:ascii="Times New Roman" w:hAnsi="Times New Roman" w:cs="Times New Roman"/>
          <w:sz w:val="24"/>
          <w:szCs w:val="24"/>
        </w:rPr>
        <w:t>Vanhoof</w:t>
      </w:r>
      <w:proofErr w:type="spellEnd"/>
      <w:r w:rsidRPr="004421BB">
        <w:rPr>
          <w:rFonts w:ascii="Times New Roman" w:hAnsi="Times New Roman" w:cs="Times New Roman"/>
          <w:sz w:val="24"/>
          <w:szCs w:val="24"/>
        </w:rPr>
        <w:t xml:space="preserve"> et al. (2018) assert that by the end of elementary school, only a limited subset of learners fully understand</w:t>
      </w:r>
      <w:r w:rsidR="00225166" w:rsidRPr="001A25AC">
        <w:rPr>
          <w:rFonts w:ascii="Times New Roman" w:hAnsi="Times New Roman" w:cs="Times New Roman"/>
          <w:sz w:val="24"/>
          <w:szCs w:val="24"/>
        </w:rPr>
        <w:t>s</w:t>
      </w:r>
      <w:r w:rsidRPr="001A25AC">
        <w:rPr>
          <w:rFonts w:ascii="Times New Roman" w:hAnsi="Times New Roman" w:cs="Times New Roman"/>
          <w:sz w:val="24"/>
          <w:szCs w:val="24"/>
        </w:rPr>
        <w:t xml:space="preserve"> the intricate structure of rational numbers. Much of this difficulty arises from the fact that teachers</w:t>
      </w:r>
      <w:r w:rsidR="00F53672">
        <w:rPr>
          <w:rFonts w:ascii="Times New Roman" w:hAnsi="Times New Roman" w:cs="Times New Roman"/>
          <w:sz w:val="24"/>
          <w:szCs w:val="24"/>
        </w:rPr>
        <w:t>’</w:t>
      </w:r>
      <w:r w:rsidRPr="001A25AC">
        <w:rPr>
          <w:rFonts w:ascii="Times New Roman" w:hAnsi="Times New Roman" w:cs="Times New Roman"/>
          <w:sz w:val="24"/>
          <w:szCs w:val="24"/>
        </w:rPr>
        <w:t xml:space="preserve"> understanding of rational numbers is often very limited (Howe, 2020; Ma &amp; Ma, 1999; </w:t>
      </w:r>
      <w:proofErr w:type="spellStart"/>
      <w:r w:rsidRPr="001A25AC">
        <w:rPr>
          <w:rFonts w:ascii="Times New Roman" w:hAnsi="Times New Roman" w:cs="Times New Roman"/>
          <w:sz w:val="24"/>
          <w:szCs w:val="24"/>
        </w:rPr>
        <w:t>Thanheiser</w:t>
      </w:r>
      <w:proofErr w:type="spellEnd"/>
      <w:r w:rsidRPr="001A25AC">
        <w:rPr>
          <w:rFonts w:ascii="Times New Roman" w:hAnsi="Times New Roman" w:cs="Times New Roman"/>
          <w:sz w:val="24"/>
          <w:szCs w:val="24"/>
        </w:rPr>
        <w:t>, 2009; Van Hoof et al., 2018). While insightful and robust, this body of research frequently diagnoses the issue and offers potential solutions. However, further research is required to see if the prescribed solutions are effective. Many K-8 math teachers were taught math in a similar, rote way—devoid of symbolic and concrete meaning. We must attend to them as their students</w:t>
      </w:r>
      <w:r w:rsidR="00F53672">
        <w:rPr>
          <w:rFonts w:ascii="Times New Roman" w:hAnsi="Times New Roman" w:cs="Times New Roman"/>
          <w:sz w:val="24"/>
          <w:szCs w:val="24"/>
        </w:rPr>
        <w:t>’</w:t>
      </w:r>
      <w:r w:rsidRPr="001A25AC">
        <w:rPr>
          <w:rFonts w:ascii="Times New Roman" w:hAnsi="Times New Roman" w:cs="Times New Roman"/>
          <w:sz w:val="24"/>
          <w:szCs w:val="24"/>
        </w:rPr>
        <w:t xml:space="preserve"> primary source of math information.</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Many teachers lack what researcher </w:t>
      </w:r>
      <w:proofErr w:type="spellStart"/>
      <w:r w:rsidRPr="004421BB">
        <w:rPr>
          <w:rFonts w:ascii="Times New Roman" w:hAnsi="Times New Roman" w:cs="Times New Roman"/>
          <w:sz w:val="24"/>
          <w:szCs w:val="24"/>
        </w:rPr>
        <w:t>Liping</w:t>
      </w:r>
      <w:proofErr w:type="spellEnd"/>
      <w:r w:rsidRPr="004421BB">
        <w:rPr>
          <w:rFonts w:ascii="Times New Roman" w:hAnsi="Times New Roman" w:cs="Times New Roman"/>
          <w:sz w:val="24"/>
          <w:szCs w:val="24"/>
        </w:rPr>
        <w:t xml:space="preserve"> Ma called PUFM, or a profound understanding of fundamental mathematics (Howe, 2020; Ma &amp; Ma, 1999). In her seminal report, researcher Eva </w:t>
      </w:r>
      <w:proofErr w:type="spellStart"/>
      <w:r w:rsidRPr="004421BB">
        <w:rPr>
          <w:rFonts w:ascii="Times New Roman" w:hAnsi="Times New Roman" w:cs="Times New Roman"/>
          <w:sz w:val="24"/>
          <w:szCs w:val="24"/>
        </w:rPr>
        <w:t>Thanheiser</w:t>
      </w:r>
      <w:proofErr w:type="spellEnd"/>
      <w:r w:rsidRPr="001A25AC">
        <w:rPr>
          <w:rFonts w:ascii="Times New Roman" w:hAnsi="Times New Roman" w:cs="Times New Roman"/>
          <w:sz w:val="24"/>
          <w:szCs w:val="24"/>
        </w:rPr>
        <w:t xml:space="preserve"> (2009) found that only 20% of the preservice teachers in her study could reliably conceive of the reference units for each digit in a three-digit number. </w:t>
      </w:r>
      <w:proofErr w:type="spellStart"/>
      <w:r w:rsidRPr="001A25AC">
        <w:rPr>
          <w:rFonts w:ascii="Times New Roman" w:hAnsi="Times New Roman" w:cs="Times New Roman"/>
          <w:sz w:val="24"/>
          <w:szCs w:val="24"/>
        </w:rPr>
        <w:t>Thanheiser</w:t>
      </w:r>
      <w:proofErr w:type="spellEnd"/>
      <w:r w:rsidRPr="001A25AC">
        <w:rPr>
          <w:rFonts w:ascii="Times New Roman" w:hAnsi="Times New Roman" w:cs="Times New Roman"/>
          <w:sz w:val="24"/>
          <w:szCs w:val="24"/>
        </w:rPr>
        <w:t xml:space="preserve"> concluded that in order to facilitate student understanding of numbers and algorithms, teachers need more than the ability to perform the algorithms. Given that Social Constructivism requires the presence of a “more knowledgeable other,” it is essential that </w:t>
      </w:r>
      <w:proofErr w:type="spellStart"/>
      <w:r w:rsidRPr="001A25AC">
        <w:rPr>
          <w:rFonts w:ascii="Times New Roman" w:hAnsi="Times New Roman" w:cs="Times New Roman"/>
          <w:sz w:val="24"/>
          <w:szCs w:val="24"/>
        </w:rPr>
        <w:t>Thanheiser</w:t>
      </w:r>
      <w:r w:rsidR="00F53672">
        <w:rPr>
          <w:rFonts w:ascii="Times New Roman" w:hAnsi="Times New Roman" w:cs="Times New Roman"/>
          <w:sz w:val="24"/>
          <w:szCs w:val="24"/>
        </w:rPr>
        <w:t>’</w:t>
      </w:r>
      <w:r w:rsidRPr="001A25AC">
        <w:rPr>
          <w:rFonts w:ascii="Times New Roman" w:hAnsi="Times New Roman" w:cs="Times New Roman"/>
          <w:sz w:val="24"/>
          <w:szCs w:val="24"/>
        </w:rPr>
        <w:t>s</w:t>
      </w:r>
      <w:proofErr w:type="spellEnd"/>
      <w:r w:rsidRPr="001A25AC">
        <w:rPr>
          <w:rFonts w:ascii="Times New Roman" w:hAnsi="Times New Roman" w:cs="Times New Roman"/>
          <w:sz w:val="24"/>
          <w:szCs w:val="24"/>
        </w:rPr>
        <w:t xml:space="preserve"> conclusion be taken into account when it comes to professional development regarding place value and rational numbers. </w:t>
      </w:r>
    </w:p>
    <w:p w:rsidR="00556DEB" w:rsidRPr="00225166" w:rsidRDefault="000F31CF">
      <w:pPr>
        <w:pStyle w:val="Body"/>
        <w:spacing w:line="480" w:lineRule="auto"/>
        <w:rPr>
          <w:rFonts w:ascii="Times New Roman" w:eastAsia="Times New Roman" w:hAnsi="Times New Roman" w:cs="Times New Roman"/>
          <w:sz w:val="24"/>
          <w:szCs w:val="24"/>
        </w:rPr>
      </w:pPr>
      <w:r w:rsidRPr="004421BB">
        <w:rPr>
          <w:rFonts w:ascii="Times New Roman" w:hAnsi="Times New Roman" w:cs="Times New Roman"/>
          <w:b/>
          <w:bCs/>
          <w:sz w:val="24"/>
          <w:szCs w:val="24"/>
        </w:rPr>
        <w:lastRenderedPageBreak/>
        <w:t>Curricular Implications</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Akin to the cornerstone that is middle school math education, the decimal point is the keystone of our base ten positional number system. It lives in a fixed location between the one</w:t>
      </w:r>
      <w:r w:rsidR="00F53672">
        <w:rPr>
          <w:rFonts w:ascii="Times New Roman" w:hAnsi="Times New Roman" w:cs="Times New Roman"/>
          <w:sz w:val="24"/>
          <w:szCs w:val="24"/>
        </w:rPr>
        <w:t>’</w:t>
      </w:r>
      <w:r w:rsidRPr="004421BB">
        <w:rPr>
          <w:rFonts w:ascii="Times New Roman" w:hAnsi="Times New Roman" w:cs="Times New Roman"/>
          <w:sz w:val="24"/>
          <w:szCs w:val="24"/>
        </w:rPr>
        <w:t>s and the tenth</w:t>
      </w:r>
      <w:r w:rsidR="00F53672">
        <w:rPr>
          <w:rFonts w:ascii="Times New Roman" w:hAnsi="Times New Roman" w:cs="Times New Roman"/>
          <w:sz w:val="24"/>
          <w:szCs w:val="24"/>
        </w:rPr>
        <w:t>’</w:t>
      </w:r>
      <w:r w:rsidRPr="004421BB">
        <w:rPr>
          <w:rFonts w:ascii="Times New Roman" w:hAnsi="Times New Roman" w:cs="Times New Roman"/>
          <w:sz w:val="24"/>
          <w:szCs w:val="24"/>
        </w:rPr>
        <w:t xml:space="preserve">s place. Nevertheless, popular curricula and online platforms such as </w:t>
      </w:r>
      <w:hyperlink r:id="rId10" w:history="1">
        <w:r w:rsidRPr="001A25AC">
          <w:rPr>
            <w:rStyle w:val="Hyperlink0"/>
            <w:rFonts w:ascii="Times New Roman" w:hAnsi="Times New Roman" w:cs="Times New Roman"/>
            <w:color w:val="auto"/>
            <w:sz w:val="24"/>
            <w:szCs w:val="24"/>
          </w:rPr>
          <w:t>khanacademy.com</w:t>
        </w:r>
      </w:hyperlink>
      <w:r w:rsidRPr="00225166">
        <w:rPr>
          <w:rFonts w:ascii="Times New Roman" w:hAnsi="Times New Roman" w:cs="Times New Roman"/>
          <w:sz w:val="24"/>
          <w:szCs w:val="24"/>
        </w:rPr>
        <w:t xml:space="preserve"> teach decimal movement, some as young as fifth grade (Houghton Mifflin Harcourt, 2020). Given the stages of constructing mathematical understanding on the part of the students and the need for PUFM on the part of the teachers, it is hard to justify this method of math instruction. Considering the cultural and linguistic diversity in today</w:t>
      </w:r>
      <w:r w:rsidR="00F53672">
        <w:rPr>
          <w:rFonts w:ascii="Times New Roman" w:hAnsi="Times New Roman" w:cs="Times New Roman"/>
          <w:sz w:val="24"/>
          <w:szCs w:val="24"/>
          <w:rtl/>
        </w:rPr>
        <w:t>’</w:t>
      </w:r>
      <w:r w:rsidRPr="00225166">
        <w:rPr>
          <w:rFonts w:ascii="Times New Roman" w:hAnsi="Times New Roman" w:cs="Times New Roman"/>
          <w:sz w:val="24"/>
          <w:szCs w:val="24"/>
        </w:rPr>
        <w:t>s classrooms, it becomes even more challenging to justify this methodology and its obvious toll on students</w:t>
      </w:r>
      <w:r w:rsidR="00F53672">
        <w:rPr>
          <w:rFonts w:ascii="Times New Roman" w:hAnsi="Times New Roman" w:cs="Times New Roman"/>
          <w:sz w:val="24"/>
          <w:szCs w:val="24"/>
        </w:rPr>
        <w:t>’</w:t>
      </w:r>
      <w:r w:rsidRPr="00225166">
        <w:rPr>
          <w:rFonts w:ascii="Times New Roman" w:hAnsi="Times New Roman" w:cs="Times New Roman"/>
          <w:sz w:val="24"/>
          <w:szCs w:val="24"/>
          <w:rtl/>
        </w:rPr>
        <w:t xml:space="preserve"> </w:t>
      </w:r>
      <w:r w:rsidRPr="00225166">
        <w:rPr>
          <w:rFonts w:ascii="Times New Roman" w:hAnsi="Times New Roman" w:cs="Times New Roman"/>
          <w:sz w:val="24"/>
          <w:szCs w:val="24"/>
        </w:rPr>
        <w:t xml:space="preserve">ability to build a solid rational number sense to support future study. Countless students enter algebra classrooms thinking they can </w:t>
      </w:r>
      <w:r w:rsidRPr="00225166">
        <w:rPr>
          <w:rFonts w:ascii="Times New Roman" w:hAnsi="Times New Roman" w:cs="Times New Roman"/>
          <w:sz w:val="24"/>
          <w:szCs w:val="24"/>
          <w:rtl/>
          <w:lang w:val="ar-SA"/>
        </w:rPr>
        <w:t>“</w:t>
      </w:r>
      <w:r w:rsidRPr="00225166">
        <w:rPr>
          <w:rFonts w:ascii="Times New Roman" w:hAnsi="Times New Roman" w:cs="Times New Roman"/>
          <w:sz w:val="24"/>
          <w:szCs w:val="24"/>
        </w:rPr>
        <w:t xml:space="preserve">move the decimal” or </w:t>
      </w:r>
      <w:r w:rsidRPr="00225166">
        <w:rPr>
          <w:rFonts w:ascii="Times New Roman" w:hAnsi="Times New Roman" w:cs="Times New Roman"/>
          <w:sz w:val="24"/>
          <w:szCs w:val="24"/>
          <w:rtl/>
          <w:lang w:val="ar-SA"/>
        </w:rPr>
        <w:t>“</w:t>
      </w:r>
      <w:r w:rsidRPr="00225166">
        <w:rPr>
          <w:rFonts w:ascii="Times New Roman" w:hAnsi="Times New Roman" w:cs="Times New Roman"/>
          <w:sz w:val="24"/>
          <w:szCs w:val="24"/>
        </w:rPr>
        <w:t xml:space="preserve">add a zero” when multiplying by ten (Howe &amp; Epp, 2008). Similarly, students learning rational numbers are often told to </w:t>
      </w:r>
      <w:r w:rsidRPr="00225166">
        <w:rPr>
          <w:rFonts w:ascii="Times New Roman" w:hAnsi="Times New Roman" w:cs="Times New Roman"/>
          <w:sz w:val="24"/>
          <w:szCs w:val="24"/>
          <w:rtl/>
          <w:lang w:val="ar-SA"/>
        </w:rPr>
        <w:t>“</w:t>
      </w:r>
      <w:r w:rsidRPr="00225166">
        <w:rPr>
          <w:rFonts w:ascii="Times New Roman" w:hAnsi="Times New Roman" w:cs="Times New Roman"/>
          <w:sz w:val="24"/>
          <w:szCs w:val="24"/>
        </w:rPr>
        <w:t>keep it, change it, flip it” to divide fractions. While momentarily expedient, ultimately, uncontextualized algorithmic practices sever</w:t>
      </w:r>
      <w:r w:rsidRPr="004421BB">
        <w:rPr>
          <w:rFonts w:ascii="Times New Roman" w:hAnsi="Times New Roman" w:cs="Times New Roman"/>
          <w:sz w:val="24"/>
          <w:szCs w:val="24"/>
        </w:rPr>
        <w:t xml:space="preserve"> the mathematical meanings from the symbols and structures created to represent them.</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Children who are taught math in this rote way can be successful for a time. </w:t>
      </w:r>
      <w:r w:rsidR="000229A1" w:rsidRPr="004421BB">
        <w:rPr>
          <w:rFonts w:ascii="Times New Roman" w:hAnsi="Times New Roman" w:cs="Times New Roman"/>
          <w:sz w:val="24"/>
          <w:szCs w:val="24"/>
        </w:rPr>
        <w:t xml:space="preserve">Many students can memorize dozens of </w:t>
      </w:r>
      <w:proofErr w:type="spellStart"/>
      <w:r w:rsidR="000229A1" w:rsidRPr="004421BB">
        <w:rPr>
          <w:rFonts w:ascii="Times New Roman" w:hAnsi="Times New Roman" w:cs="Times New Roman"/>
          <w:sz w:val="24"/>
          <w:szCs w:val="24"/>
        </w:rPr>
        <w:t>siloed</w:t>
      </w:r>
      <w:proofErr w:type="spellEnd"/>
      <w:r w:rsidR="000229A1" w:rsidRPr="004421BB">
        <w:rPr>
          <w:rFonts w:ascii="Times New Roman" w:hAnsi="Times New Roman" w:cs="Times New Roman"/>
          <w:sz w:val="24"/>
          <w:szCs w:val="24"/>
        </w:rPr>
        <w:t xml:space="preserve"> tricks (untethered to base ten understanding) wh</w:t>
      </w:r>
      <w:r w:rsidR="000229A1" w:rsidRPr="001A25AC">
        <w:rPr>
          <w:rFonts w:ascii="Times New Roman" w:hAnsi="Times New Roman" w:cs="Times New Roman"/>
          <w:sz w:val="24"/>
          <w:szCs w:val="24"/>
        </w:rPr>
        <w:t>ich temporarily provide correct answers</w:t>
      </w:r>
      <w:r w:rsidRPr="001A25AC">
        <w:rPr>
          <w:rFonts w:ascii="Times New Roman" w:hAnsi="Times New Roman" w:cs="Times New Roman"/>
          <w:sz w:val="24"/>
          <w:szCs w:val="24"/>
        </w:rPr>
        <w:t xml:space="preserve"> </w:t>
      </w:r>
      <w:r w:rsidRPr="00225166">
        <w:rPr>
          <w:rFonts w:ascii="Times New Roman" w:hAnsi="Times New Roman" w:cs="Times New Roman"/>
          <w:sz w:val="24"/>
          <w:szCs w:val="24"/>
          <w:lang w:val="nl-NL"/>
        </w:rPr>
        <w:t>(Irwin, 2001; Lortie</w:t>
      </w:r>
      <w:r w:rsidRPr="004421BB">
        <w:rPr>
          <w:rFonts w:ascii="Times New Roman" w:hAnsi="Times New Roman" w:cs="Times New Roman"/>
          <w:sz w:val="24"/>
          <w:szCs w:val="24"/>
        </w:rPr>
        <w:t>‐</w:t>
      </w:r>
      <w:proofErr w:type="spellStart"/>
      <w:r w:rsidRPr="004421BB">
        <w:rPr>
          <w:rFonts w:ascii="Times New Roman" w:hAnsi="Times New Roman" w:cs="Times New Roman"/>
          <w:sz w:val="24"/>
          <w:szCs w:val="24"/>
        </w:rPr>
        <w:t>Forgues</w:t>
      </w:r>
      <w:proofErr w:type="spellEnd"/>
      <w:r w:rsidRPr="004421BB">
        <w:rPr>
          <w:rFonts w:ascii="Times New Roman" w:hAnsi="Times New Roman" w:cs="Times New Roman"/>
          <w:sz w:val="24"/>
          <w:szCs w:val="24"/>
        </w:rPr>
        <w:t xml:space="preserve"> &amp; </w:t>
      </w:r>
      <w:proofErr w:type="spellStart"/>
      <w:r w:rsidRPr="004421BB">
        <w:rPr>
          <w:rFonts w:ascii="Times New Roman" w:hAnsi="Times New Roman" w:cs="Times New Roman"/>
          <w:sz w:val="24"/>
          <w:szCs w:val="24"/>
        </w:rPr>
        <w:t>Siegler</w:t>
      </w:r>
      <w:proofErr w:type="spellEnd"/>
      <w:r w:rsidRPr="004421BB">
        <w:rPr>
          <w:rFonts w:ascii="Times New Roman" w:hAnsi="Times New Roman" w:cs="Times New Roman"/>
          <w:sz w:val="24"/>
          <w:szCs w:val="24"/>
        </w:rPr>
        <w:t xml:space="preserve">, 2017; McMullen et al., 2021). However, this methodology is failing them when they try to learn algebra. Consider that we read (text and numbers) from left to right, and we begin teaching math by counting from least to greatest. Forty percent of the Kindergarten Common Core State Standards and </w:t>
      </w:r>
      <w:proofErr w:type="spellStart"/>
      <w:r w:rsidRPr="004421BB">
        <w:rPr>
          <w:rFonts w:ascii="Times New Roman" w:hAnsi="Times New Roman" w:cs="Times New Roman"/>
          <w:sz w:val="24"/>
          <w:szCs w:val="24"/>
        </w:rPr>
        <w:t>s</w:t>
      </w:r>
      <w:r w:rsidRPr="001A25AC">
        <w:rPr>
          <w:rFonts w:ascii="Times New Roman" w:hAnsi="Times New Roman" w:cs="Times New Roman"/>
          <w:sz w:val="24"/>
          <w:szCs w:val="24"/>
        </w:rPr>
        <w:t>ubstandards</w:t>
      </w:r>
      <w:proofErr w:type="spellEnd"/>
      <w:r w:rsidRPr="001A25AC">
        <w:rPr>
          <w:rFonts w:ascii="Times New Roman" w:hAnsi="Times New Roman" w:cs="Times New Roman"/>
          <w:sz w:val="24"/>
          <w:szCs w:val="24"/>
        </w:rPr>
        <w:t xml:space="preserve"> are in the domain of </w:t>
      </w:r>
      <w:r w:rsidR="000229A1" w:rsidRPr="001A25AC">
        <w:rPr>
          <w:rFonts w:ascii="Times New Roman" w:hAnsi="Times New Roman" w:cs="Times New Roman"/>
          <w:sz w:val="24"/>
          <w:szCs w:val="24"/>
        </w:rPr>
        <w:t>“counting and cardinality”</w:t>
      </w:r>
      <w:r w:rsidRPr="001A25AC">
        <w:rPr>
          <w:rFonts w:ascii="Times New Roman" w:hAnsi="Times New Roman" w:cs="Times New Roman"/>
          <w:sz w:val="24"/>
          <w:szCs w:val="24"/>
          <w:lang w:val="de-DE"/>
        </w:rPr>
        <w:t xml:space="preserve"> </w:t>
      </w:r>
      <w:r w:rsidRPr="001A25AC">
        <w:rPr>
          <w:rFonts w:ascii="Times New Roman" w:hAnsi="Times New Roman" w:cs="Times New Roman"/>
          <w:sz w:val="24"/>
          <w:szCs w:val="24"/>
        </w:rPr>
        <w:t xml:space="preserve">(Common Core State Standards Initiative, n.d.). However, from left to right, digits in our place value system go from greatest to </w:t>
      </w:r>
      <w:r w:rsidRPr="001A25AC">
        <w:rPr>
          <w:rFonts w:ascii="Times New Roman" w:hAnsi="Times New Roman" w:cs="Times New Roman"/>
          <w:sz w:val="24"/>
          <w:szCs w:val="24"/>
        </w:rPr>
        <w:lastRenderedPageBreak/>
        <w:t xml:space="preserve">least (hundreds, tens, ones). This makes sense from a utility standpoint; as adults, we want to know about the 100 dollars before the tens and ones, but it is prudent for educators to think about this multi-directionality in terms of student learning, especially those with directional learning difficulties. Furthermore, most students today have very little interaction with physical money. Grounding concepts such as regrouping across place values through the ritualistic acts of making change and finding sums or differences with whole and fractional monetary units, once the strongholds in a </w:t>
      </w:r>
      <w:r w:rsidR="00225166" w:rsidRPr="001A25AC">
        <w:rPr>
          <w:rFonts w:ascii="Times New Roman" w:hAnsi="Times New Roman" w:cs="Times New Roman"/>
          <w:sz w:val="24"/>
          <w:szCs w:val="24"/>
        </w:rPr>
        <w:t>teacher</w:t>
      </w:r>
      <w:r w:rsidR="00F53672">
        <w:rPr>
          <w:rFonts w:ascii="Times New Roman" w:hAnsi="Times New Roman" w:cs="Times New Roman"/>
          <w:sz w:val="24"/>
          <w:szCs w:val="24"/>
        </w:rPr>
        <w:t>’</w:t>
      </w:r>
      <w:r w:rsidR="00225166" w:rsidRPr="001A25AC">
        <w:rPr>
          <w:rFonts w:ascii="Times New Roman" w:hAnsi="Times New Roman" w:cs="Times New Roman"/>
          <w:sz w:val="24"/>
          <w:szCs w:val="24"/>
        </w:rPr>
        <w:t xml:space="preserve">s </w:t>
      </w:r>
      <w:r w:rsidRPr="001A25AC">
        <w:rPr>
          <w:rFonts w:ascii="Times New Roman" w:hAnsi="Times New Roman" w:cs="Times New Roman"/>
          <w:sz w:val="24"/>
          <w:szCs w:val="24"/>
        </w:rPr>
        <w:t xml:space="preserve">contextualizing toolbox, are verging on obsolete (Irwin, 2001; McMullen et al., 2021).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There are myriad ways to leverage our natural inclination to base ten in pursuit of plasticity and fluency with rational numbers, from sums of ten in early elementary to scientific notation in high school, which leads to deeper conceptualization. This is especially true for percent, decimal, and fraction (i.e., rationa</w:t>
      </w:r>
      <w:r w:rsidRPr="001A25AC">
        <w:rPr>
          <w:rFonts w:ascii="Times New Roman" w:hAnsi="Times New Roman" w:cs="Times New Roman"/>
          <w:sz w:val="24"/>
          <w:szCs w:val="24"/>
        </w:rPr>
        <w:t xml:space="preserve">l number) domains where many of our most academically vulnerable middle schoolers, e.g., first-years, live. Notably, sixth grade is also where the strand </w:t>
      </w:r>
      <w:r w:rsidR="00225166">
        <w:rPr>
          <w:rFonts w:ascii="Times New Roman" w:hAnsi="Times New Roman" w:cs="Times New Roman"/>
          <w:sz w:val="24"/>
          <w:szCs w:val="24"/>
        </w:rPr>
        <w:t>“</w:t>
      </w:r>
      <w:r w:rsidRPr="00225166">
        <w:rPr>
          <w:rFonts w:ascii="Times New Roman" w:hAnsi="Times New Roman" w:cs="Times New Roman"/>
          <w:sz w:val="24"/>
          <w:szCs w:val="24"/>
        </w:rPr>
        <w:t xml:space="preserve">Numbers and Operations in Base Ten” stops appearing in the Common Core (Common Core State Standards Initiative, n.d.). The shift from using whole number </w:t>
      </w:r>
      <w:r w:rsidRPr="004421BB">
        <w:rPr>
          <w:rFonts w:ascii="Times New Roman" w:hAnsi="Times New Roman" w:cs="Times New Roman"/>
          <w:sz w:val="24"/>
          <w:szCs w:val="24"/>
        </w:rPr>
        <w:t xml:space="preserve">sense to building rational number sense is a critical stepping stone to building algebraic number sense. Rational number knowledge is a strong predictor of more advanced mathematical learning, yet many </w:t>
      </w:r>
      <w:r w:rsidR="00225166" w:rsidRPr="00225166">
        <w:rPr>
          <w:rFonts w:ascii="Times New Roman" w:hAnsi="Times New Roman" w:cs="Times New Roman"/>
          <w:sz w:val="24"/>
          <w:szCs w:val="24"/>
        </w:rPr>
        <w:t>students</w:t>
      </w:r>
      <w:r w:rsidR="00F53672">
        <w:rPr>
          <w:rFonts w:ascii="Times New Roman" w:hAnsi="Times New Roman" w:cs="Times New Roman"/>
          <w:sz w:val="24"/>
          <w:szCs w:val="24"/>
        </w:rPr>
        <w:t>’</w:t>
      </w:r>
      <w:r w:rsidR="00225166" w:rsidRPr="004421BB">
        <w:rPr>
          <w:rFonts w:ascii="Times New Roman" w:hAnsi="Times New Roman" w:cs="Times New Roman"/>
          <w:sz w:val="24"/>
          <w:szCs w:val="24"/>
          <w:rtl/>
        </w:rPr>
        <w:t xml:space="preserve"> </w:t>
      </w:r>
      <w:r w:rsidRPr="00225166">
        <w:rPr>
          <w:rFonts w:ascii="Times New Roman" w:hAnsi="Times New Roman" w:cs="Times New Roman"/>
          <w:sz w:val="24"/>
          <w:szCs w:val="24"/>
        </w:rPr>
        <w:t>math struggles begin with the introduction of rational numbers (Thompson &amp; Smith, 2017). Causes of this are commonly attributed to studen</w:t>
      </w:r>
      <w:r w:rsidR="00225166" w:rsidRPr="00225166">
        <w:rPr>
          <w:rFonts w:ascii="Times New Roman" w:hAnsi="Times New Roman" w:cs="Times New Roman"/>
          <w:sz w:val="24"/>
          <w:szCs w:val="24"/>
        </w:rPr>
        <w:t>ts</w:t>
      </w:r>
      <w:r w:rsidR="00F53672">
        <w:rPr>
          <w:rFonts w:ascii="Times New Roman" w:hAnsi="Times New Roman" w:cs="Times New Roman"/>
          <w:sz w:val="24"/>
          <w:szCs w:val="24"/>
        </w:rPr>
        <w:t>’</w:t>
      </w:r>
      <w:r w:rsidR="00225166" w:rsidRPr="004421BB">
        <w:rPr>
          <w:rFonts w:ascii="Times New Roman" w:hAnsi="Times New Roman" w:cs="Times New Roman"/>
          <w:sz w:val="24"/>
          <w:szCs w:val="24"/>
        </w:rPr>
        <w:t xml:space="preserve"> </w:t>
      </w:r>
      <w:r w:rsidRPr="00225166">
        <w:rPr>
          <w:rFonts w:ascii="Times New Roman" w:hAnsi="Times New Roman" w:cs="Times New Roman"/>
          <w:sz w:val="24"/>
          <w:szCs w:val="24"/>
        </w:rPr>
        <w:t>natural number bias and teache</w:t>
      </w:r>
      <w:r w:rsidR="00225166" w:rsidRPr="00225166">
        <w:rPr>
          <w:rFonts w:ascii="Times New Roman" w:hAnsi="Times New Roman" w:cs="Times New Roman"/>
          <w:sz w:val="24"/>
          <w:szCs w:val="24"/>
        </w:rPr>
        <w:t>rs</w:t>
      </w:r>
      <w:r w:rsidR="00F53672">
        <w:rPr>
          <w:rFonts w:ascii="Times New Roman" w:hAnsi="Times New Roman" w:cs="Times New Roman"/>
          <w:sz w:val="24"/>
          <w:szCs w:val="24"/>
        </w:rPr>
        <w:t>’</w:t>
      </w:r>
      <w:r w:rsidR="00225166" w:rsidRPr="004421BB">
        <w:rPr>
          <w:rFonts w:ascii="Times New Roman" w:hAnsi="Times New Roman" w:cs="Times New Roman"/>
          <w:sz w:val="24"/>
          <w:szCs w:val="24"/>
          <w:rtl/>
        </w:rPr>
        <w:t xml:space="preserve"> </w:t>
      </w:r>
      <w:r w:rsidRPr="00225166">
        <w:rPr>
          <w:rFonts w:ascii="Times New Roman" w:hAnsi="Times New Roman" w:cs="Times New Roman"/>
          <w:sz w:val="24"/>
          <w:szCs w:val="24"/>
        </w:rPr>
        <w:t>lack of PUFM.</w:t>
      </w:r>
    </w:p>
    <w:p w:rsidR="00556DEB" w:rsidRPr="00225166" w:rsidRDefault="000F31CF">
      <w:pPr>
        <w:pStyle w:val="Body"/>
        <w:spacing w:line="480" w:lineRule="auto"/>
        <w:jc w:val="center"/>
        <w:rPr>
          <w:rFonts w:ascii="Times New Roman" w:eastAsia="Times New Roman" w:hAnsi="Times New Roman" w:cs="Times New Roman"/>
          <w:b/>
          <w:bCs/>
          <w:sz w:val="24"/>
          <w:szCs w:val="24"/>
        </w:rPr>
      </w:pPr>
      <w:r w:rsidRPr="004421BB">
        <w:rPr>
          <w:rFonts w:ascii="Times New Roman" w:hAnsi="Times New Roman" w:cs="Times New Roman"/>
          <w:b/>
          <w:bCs/>
          <w:sz w:val="24"/>
          <w:szCs w:val="24"/>
          <w:lang w:val="it-IT"/>
        </w:rPr>
        <w:t>Conclusion</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Given our </w:t>
      </w:r>
      <w:r w:rsidR="00F53672" w:rsidRPr="004421BB">
        <w:rPr>
          <w:rFonts w:ascii="Times New Roman" w:hAnsi="Times New Roman" w:cs="Times New Roman"/>
          <w:sz w:val="24"/>
          <w:szCs w:val="24"/>
        </w:rPr>
        <w:t>country</w:t>
      </w:r>
      <w:r w:rsidR="00F53672">
        <w:rPr>
          <w:rFonts w:ascii="Times New Roman" w:hAnsi="Times New Roman" w:cs="Times New Roman"/>
          <w:sz w:val="24"/>
          <w:szCs w:val="24"/>
        </w:rPr>
        <w:t>’</w:t>
      </w:r>
      <w:r w:rsidR="00F53672" w:rsidRPr="004421BB">
        <w:rPr>
          <w:rFonts w:ascii="Times New Roman" w:hAnsi="Times New Roman" w:cs="Times New Roman"/>
          <w:sz w:val="24"/>
          <w:szCs w:val="24"/>
        </w:rPr>
        <w:t xml:space="preserve">s </w:t>
      </w:r>
      <w:r w:rsidRPr="004421BB">
        <w:rPr>
          <w:rFonts w:ascii="Times New Roman" w:hAnsi="Times New Roman" w:cs="Times New Roman"/>
          <w:sz w:val="24"/>
          <w:szCs w:val="24"/>
        </w:rPr>
        <w:t xml:space="preserve">continually declining math achievement scores and the importance of building a solid rational number sense for future study, there is evidence to support an </w:t>
      </w:r>
      <w:r w:rsidRPr="004421BB">
        <w:rPr>
          <w:rFonts w:ascii="Times New Roman" w:hAnsi="Times New Roman" w:cs="Times New Roman"/>
          <w:sz w:val="24"/>
          <w:szCs w:val="24"/>
        </w:rPr>
        <w:lastRenderedPageBreak/>
        <w:t>examination and restructuring of the organization of math education as it perta</w:t>
      </w:r>
      <w:r w:rsidRPr="001A25AC">
        <w:rPr>
          <w:rFonts w:ascii="Times New Roman" w:hAnsi="Times New Roman" w:cs="Times New Roman"/>
          <w:sz w:val="24"/>
          <w:szCs w:val="24"/>
        </w:rPr>
        <w:t xml:space="preserve">ins to curricular instruction, particularly where the rational number domain is concerned. </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 xml:space="preserve">As </w:t>
      </w:r>
      <w:proofErr w:type="spellStart"/>
      <w:r w:rsidRPr="004421BB">
        <w:rPr>
          <w:rFonts w:ascii="Times New Roman" w:hAnsi="Times New Roman" w:cs="Times New Roman"/>
          <w:sz w:val="24"/>
          <w:szCs w:val="24"/>
        </w:rPr>
        <w:t>Hosun</w:t>
      </w:r>
      <w:proofErr w:type="spellEnd"/>
      <w:r w:rsidRPr="004421BB">
        <w:rPr>
          <w:rFonts w:ascii="Times New Roman" w:hAnsi="Times New Roman" w:cs="Times New Roman"/>
          <w:sz w:val="24"/>
          <w:szCs w:val="24"/>
        </w:rPr>
        <w:t xml:space="preserve"> Kang </w:t>
      </w:r>
      <w:proofErr w:type="gramStart"/>
      <w:r w:rsidRPr="004421BB">
        <w:rPr>
          <w:rFonts w:ascii="Times New Roman" w:hAnsi="Times New Roman" w:cs="Times New Roman"/>
          <w:sz w:val="24"/>
          <w:szCs w:val="24"/>
        </w:rPr>
        <w:t>et al.</w:t>
      </w:r>
      <w:r w:rsidR="00F53672">
        <w:rPr>
          <w:rFonts w:ascii="Times New Roman" w:hAnsi="Times New Roman" w:cs="Times New Roman"/>
          <w:sz w:val="24"/>
          <w:szCs w:val="24"/>
        </w:rPr>
        <w:t>‘</w:t>
      </w:r>
      <w:proofErr w:type="gramEnd"/>
      <w:r w:rsidR="00225166" w:rsidRPr="004421BB">
        <w:rPr>
          <w:rFonts w:ascii="Times New Roman" w:hAnsi="Times New Roman" w:cs="Times New Roman"/>
          <w:sz w:val="24"/>
          <w:szCs w:val="24"/>
        </w:rPr>
        <w:t xml:space="preserve">s </w:t>
      </w:r>
      <w:r w:rsidRPr="004421BB">
        <w:rPr>
          <w:rFonts w:ascii="Times New Roman" w:hAnsi="Times New Roman" w:cs="Times New Roman"/>
          <w:sz w:val="24"/>
          <w:szCs w:val="24"/>
        </w:rPr>
        <w:t>(2018) work illuminates, middle school plays a critical role in shaping young individuals</w:t>
      </w:r>
      <w:r w:rsidR="00F53672">
        <w:rPr>
          <w:rFonts w:ascii="Times New Roman" w:hAnsi="Times New Roman" w:cs="Times New Roman"/>
          <w:sz w:val="24"/>
          <w:szCs w:val="24"/>
        </w:rPr>
        <w:t>’</w:t>
      </w:r>
      <w:r w:rsidRPr="004421BB">
        <w:rPr>
          <w:rFonts w:ascii="Times New Roman" w:hAnsi="Times New Roman" w:cs="Times New Roman"/>
          <w:sz w:val="24"/>
          <w:szCs w:val="24"/>
        </w:rPr>
        <w:t xml:space="preserve"> perceptions of themselves in relation to STEM subjects, influencing their long-term engagement with these fields. Ultimately, students need to feel successful in mat</w:t>
      </w:r>
      <w:r w:rsidRPr="001A25AC">
        <w:rPr>
          <w:rFonts w:ascii="Times New Roman" w:hAnsi="Times New Roman" w:cs="Times New Roman"/>
          <w:sz w:val="24"/>
          <w:szCs w:val="24"/>
        </w:rPr>
        <w:t xml:space="preserve">h (i.e., arrive at the correct answer and know </w:t>
      </w:r>
      <w:r w:rsidRPr="001A25AC">
        <w:rPr>
          <w:rFonts w:ascii="Times New Roman" w:hAnsi="Times New Roman" w:cs="Times New Roman"/>
          <w:i/>
          <w:iCs/>
          <w:sz w:val="24"/>
          <w:szCs w:val="24"/>
        </w:rPr>
        <w:t>why</w:t>
      </w:r>
      <w:r w:rsidRPr="001A25AC">
        <w:rPr>
          <w:rFonts w:ascii="Times New Roman" w:hAnsi="Times New Roman" w:cs="Times New Roman"/>
          <w:sz w:val="24"/>
          <w:szCs w:val="24"/>
        </w:rPr>
        <w:t xml:space="preserve"> their computations worked) to feel confident in mathematics learning spaces (Thompson &amp; Smith, 2017). The goal of decolonizing and humanizing rational numbers is more than a curricular enhancement. A lack of intuitive base ten place value knowledge is a form of illiteracy.</w:t>
      </w:r>
      <w:r w:rsidRPr="00225166">
        <w:rPr>
          <w:rFonts w:ascii="Times New Roman" w:hAnsi="Times New Roman" w:cs="Times New Roman"/>
          <w:sz w:val="24"/>
          <w:szCs w:val="24"/>
        </w:rPr>
        <w:t xml:space="preserve"> Every new mathematical skill must be explicitly tethered to its shared meaning, its concrete, humanistic base ten roots. This is what it means to</w:t>
      </w:r>
      <w:r w:rsidR="00225166">
        <w:rPr>
          <w:rFonts w:ascii="Times New Roman" w:hAnsi="Times New Roman" w:cs="Times New Roman"/>
          <w:sz w:val="24"/>
          <w:szCs w:val="24"/>
        </w:rPr>
        <w:t xml:space="preserve"> “get”</w:t>
      </w:r>
      <w:r w:rsidRPr="00225166">
        <w:rPr>
          <w:rFonts w:ascii="Times New Roman" w:hAnsi="Times New Roman" w:cs="Times New Roman"/>
          <w:sz w:val="24"/>
          <w:szCs w:val="24"/>
        </w:rPr>
        <w:t xml:space="preserve"> math.</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Each round of CPA stages, like each student</w:t>
      </w:r>
      <w:r w:rsidR="00F53672">
        <w:rPr>
          <w:rFonts w:ascii="Times New Roman" w:hAnsi="Times New Roman" w:cs="Times New Roman"/>
          <w:sz w:val="24"/>
          <w:szCs w:val="24"/>
          <w:rtl/>
        </w:rPr>
        <w:t>’</w:t>
      </w:r>
      <w:r w:rsidRPr="00225166">
        <w:rPr>
          <w:rFonts w:ascii="Times New Roman" w:hAnsi="Times New Roman" w:cs="Times New Roman"/>
          <w:sz w:val="24"/>
          <w:szCs w:val="24"/>
        </w:rPr>
        <w:t>s journey toward constructing mathematical understanding, is a microcosm of humanity</w:t>
      </w:r>
      <w:r w:rsidR="00F53672">
        <w:rPr>
          <w:rFonts w:ascii="Times New Roman" w:hAnsi="Times New Roman" w:cs="Times New Roman"/>
          <w:sz w:val="24"/>
          <w:szCs w:val="24"/>
          <w:rtl/>
        </w:rPr>
        <w:t>’</w:t>
      </w:r>
      <w:r w:rsidRPr="00225166">
        <w:rPr>
          <w:rFonts w:ascii="Times New Roman" w:hAnsi="Times New Roman" w:cs="Times New Roman"/>
          <w:sz w:val="24"/>
          <w:szCs w:val="24"/>
        </w:rPr>
        <w:t xml:space="preserve">s shared construction of our number system. There is an observable symmetry as students practice and master each number domain, from </w:t>
      </w:r>
      <w:r w:rsidRPr="004421BB">
        <w:rPr>
          <w:rFonts w:ascii="Times New Roman" w:hAnsi="Times New Roman" w:cs="Times New Roman"/>
          <w:sz w:val="24"/>
          <w:szCs w:val="24"/>
        </w:rPr>
        <w:t>whole (n</w:t>
      </w:r>
      <w:r w:rsidRPr="001A25AC">
        <w:rPr>
          <w:rFonts w:ascii="Times New Roman" w:hAnsi="Times New Roman" w:cs="Times New Roman"/>
          <w:sz w:val="24"/>
          <w:szCs w:val="24"/>
        </w:rPr>
        <w:t xml:space="preserve">atural) to rational to algebraic (see Figure 2). These symmetrical, sequential math learning processes, like our base ten positional system, are grounded in our biological evolution. Human ontogeny, the development of an individual organism within its lifetime, parallels phylogeny, the evolutionary history of the human species. Each progressive stage, starting from the yolk sac to gills and embryonic tail, mirrors the evolutionary progression of our ancestors, from single-cell amoebas to fish and reptilian forms. All steps are necessary to arrive in human form, just as all steps are necessary to arrive at mathematical literacy. </w:t>
      </w:r>
    </w:p>
    <w:p w:rsidR="00556DEB" w:rsidRPr="00225166" w:rsidRDefault="000F31CF">
      <w:pPr>
        <w:pStyle w:val="Body"/>
        <w:spacing w:line="480" w:lineRule="auto"/>
        <w:rPr>
          <w:rFonts w:ascii="Times New Roman" w:eastAsia="Times New Roman" w:hAnsi="Times New Roman" w:cs="Times New Roman"/>
          <w:b/>
          <w:bCs/>
          <w:sz w:val="24"/>
          <w:szCs w:val="24"/>
        </w:rPr>
      </w:pPr>
      <w:r w:rsidRPr="004421BB">
        <w:rPr>
          <w:rFonts w:ascii="Times New Roman" w:hAnsi="Times New Roman" w:cs="Times New Roman"/>
          <w:b/>
          <w:bCs/>
          <w:sz w:val="24"/>
          <w:szCs w:val="24"/>
          <w:lang w:val="it-IT"/>
        </w:rPr>
        <w:t>Figure 2</w:t>
      </w:r>
    </w:p>
    <w:p w:rsidR="00556DEB" w:rsidRPr="00225166" w:rsidRDefault="000F31CF">
      <w:pPr>
        <w:pStyle w:val="Body"/>
        <w:spacing w:line="480" w:lineRule="auto"/>
        <w:rPr>
          <w:rFonts w:ascii="Times New Roman" w:eastAsia="Times New Roman" w:hAnsi="Times New Roman" w:cs="Times New Roman"/>
          <w:sz w:val="24"/>
          <w:szCs w:val="24"/>
        </w:rPr>
      </w:pPr>
      <w:r w:rsidRPr="004421BB">
        <w:rPr>
          <w:rFonts w:ascii="Times New Roman" w:hAnsi="Times New Roman" w:cs="Times New Roman"/>
          <w:i/>
          <w:iCs/>
          <w:sz w:val="24"/>
          <w:szCs w:val="24"/>
        </w:rPr>
        <w:t>Chart of Sequential Stages of Mathematical Language and Literacy Construction</w:t>
      </w:r>
    </w:p>
    <w:p w:rsidR="00556DEB" w:rsidRPr="00225166" w:rsidRDefault="000F31CF">
      <w:pPr>
        <w:pStyle w:val="Body"/>
        <w:spacing w:line="480" w:lineRule="auto"/>
        <w:rPr>
          <w:rFonts w:ascii="Times New Roman" w:eastAsia="Times New Roman" w:hAnsi="Times New Roman" w:cs="Times New Roman"/>
          <w:sz w:val="24"/>
          <w:szCs w:val="24"/>
        </w:rPr>
      </w:pPr>
      <w:r w:rsidRPr="00225166">
        <w:rPr>
          <w:rFonts w:ascii="Times New Roman" w:eastAsia="Times New Roman" w:hAnsi="Times New Roman" w:cs="Times New Roman"/>
          <w:noProof/>
          <w:sz w:val="24"/>
          <w:szCs w:val="24"/>
        </w:rPr>
        <w:lastRenderedPageBreak/>
        <w:drawing>
          <wp:inline distT="0" distB="0" distL="0" distR="0">
            <wp:extent cx="5731934" cy="3224214"/>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1"/>
                    <a:stretch>
                      <a:fillRect/>
                    </a:stretch>
                  </pic:blipFill>
                  <pic:spPr>
                    <a:xfrm>
                      <a:off x="0" y="0"/>
                      <a:ext cx="5731934" cy="3224214"/>
                    </a:xfrm>
                    <a:prstGeom prst="rect">
                      <a:avLst/>
                    </a:prstGeom>
                    <a:ln w="12700" cap="flat">
                      <a:noFill/>
                      <a:miter lim="400000"/>
                    </a:ln>
                    <a:effectLst/>
                  </pic:spPr>
                </pic:pic>
              </a:graphicData>
            </a:graphic>
          </wp:inline>
        </w:drawing>
      </w:r>
    </w:p>
    <w:p w:rsidR="00556DEB" w:rsidRPr="00225166" w:rsidRDefault="000F31CF">
      <w:pPr>
        <w:pStyle w:val="Body"/>
        <w:spacing w:line="480" w:lineRule="auto"/>
        <w:rPr>
          <w:rFonts w:ascii="Times New Roman" w:eastAsia="Times New Roman" w:hAnsi="Times New Roman" w:cs="Times New Roman"/>
          <w:sz w:val="24"/>
          <w:szCs w:val="24"/>
        </w:rPr>
      </w:pPr>
      <w:r w:rsidRPr="00225166">
        <w:rPr>
          <w:rFonts w:ascii="Times New Roman" w:eastAsia="Times New Roman" w:hAnsi="Times New Roman" w:cs="Times New Roman"/>
          <w:sz w:val="24"/>
          <w:szCs w:val="24"/>
        </w:rPr>
        <w:tab/>
        <w:t>Drawing back the curtain on the origins of math and contextualizing lessons to their base ten roots has the potential to address the needs of both sides of the math education debate. Rigor can be reinstated with the mathematical literacy that stems from base ten teaching. A working knowledge of humanity</w:t>
      </w:r>
      <w:r w:rsidR="00F53672">
        <w:rPr>
          <w:rFonts w:ascii="Times New Roman" w:eastAsia="Times New Roman" w:hAnsi="Times New Roman" w:cs="Times New Roman"/>
          <w:sz w:val="24"/>
          <w:szCs w:val="24"/>
        </w:rPr>
        <w:t>’</w:t>
      </w:r>
      <w:r w:rsidRPr="00225166">
        <w:rPr>
          <w:rFonts w:ascii="Times New Roman" w:eastAsia="Times New Roman" w:hAnsi="Times New Roman" w:cs="Times New Roman"/>
          <w:sz w:val="24"/>
          <w:szCs w:val="24"/>
        </w:rPr>
        <w:t>s shared labor in creating the number system will improve accessibility in terms of students</w:t>
      </w:r>
      <w:r w:rsidR="00F53672">
        <w:rPr>
          <w:rFonts w:ascii="Times New Roman" w:eastAsia="Times New Roman" w:hAnsi="Times New Roman" w:cs="Times New Roman"/>
          <w:sz w:val="24"/>
          <w:szCs w:val="24"/>
        </w:rPr>
        <w:t>’</w:t>
      </w:r>
      <w:r w:rsidRPr="00225166">
        <w:rPr>
          <w:rFonts w:ascii="Times New Roman" w:eastAsia="Times New Roman" w:hAnsi="Times New Roman" w:cs="Times New Roman"/>
          <w:sz w:val="24"/>
          <w:szCs w:val="24"/>
        </w:rPr>
        <w:t xml:space="preserve"> sense of agency and identity in mathematics learning spaces and perhaps dispel the pervasive but thinly disguised belief in the United States that white male students from affluent backgrounds inherently possess the </w:t>
      </w:r>
      <w:r w:rsidRPr="00225166">
        <w:rPr>
          <w:rFonts w:ascii="Times New Roman" w:hAnsi="Times New Roman" w:cs="Times New Roman"/>
          <w:sz w:val="24"/>
          <w:szCs w:val="24"/>
          <w:rtl/>
          <w:lang w:val="ar-SA"/>
        </w:rPr>
        <w:t>“</w:t>
      </w:r>
      <w:r w:rsidRPr="00225166">
        <w:rPr>
          <w:rFonts w:ascii="Times New Roman" w:hAnsi="Times New Roman" w:cs="Times New Roman"/>
          <w:sz w:val="24"/>
          <w:szCs w:val="24"/>
        </w:rPr>
        <w:t>math gene” once and for all (</w:t>
      </w:r>
      <w:proofErr w:type="spellStart"/>
      <w:r w:rsidRPr="00225166">
        <w:rPr>
          <w:rFonts w:ascii="Times New Roman" w:hAnsi="Times New Roman" w:cs="Times New Roman"/>
          <w:sz w:val="24"/>
          <w:szCs w:val="24"/>
        </w:rPr>
        <w:t>Wibneh</w:t>
      </w:r>
      <w:proofErr w:type="spellEnd"/>
      <w:r w:rsidRPr="00225166">
        <w:rPr>
          <w:rFonts w:ascii="Times New Roman" w:hAnsi="Times New Roman" w:cs="Times New Roman"/>
          <w:sz w:val="24"/>
          <w:szCs w:val="24"/>
        </w:rPr>
        <w:t>, 2016).</w:t>
      </w:r>
    </w:p>
    <w:p w:rsidR="00556DEB" w:rsidRPr="00225166" w:rsidRDefault="000F31CF">
      <w:pPr>
        <w:pStyle w:val="Body"/>
        <w:spacing w:line="480" w:lineRule="auto"/>
        <w:ind w:firstLine="720"/>
        <w:rPr>
          <w:rFonts w:ascii="Times New Roman" w:eastAsia="Times New Roman" w:hAnsi="Times New Roman" w:cs="Times New Roman"/>
          <w:sz w:val="24"/>
          <w:szCs w:val="24"/>
        </w:rPr>
      </w:pPr>
      <w:r w:rsidRPr="004421BB">
        <w:rPr>
          <w:rFonts w:ascii="Times New Roman" w:hAnsi="Times New Roman" w:cs="Times New Roman"/>
          <w:sz w:val="24"/>
          <w:szCs w:val="24"/>
        </w:rPr>
        <w:t>Eradicating the damage of harmful stereotypes, rote teaching methods, and poor mathematics achievement requires a restructured, systemic solution—</w:t>
      </w:r>
      <w:r w:rsidRPr="001A25AC">
        <w:rPr>
          <w:rFonts w:ascii="Times New Roman" w:hAnsi="Times New Roman" w:cs="Times New Roman"/>
          <w:sz w:val="24"/>
          <w:szCs w:val="24"/>
        </w:rPr>
        <w:t>one that invites children to identify themselves as successive participants in the journey of math.</w:t>
      </w:r>
    </w:p>
    <w:p w:rsidR="00556DEB" w:rsidRPr="00225166" w:rsidRDefault="000F31CF">
      <w:pPr>
        <w:pStyle w:val="Body"/>
        <w:spacing w:line="480" w:lineRule="auto"/>
        <w:ind w:firstLine="720"/>
        <w:rPr>
          <w:rFonts w:ascii="Times New Roman" w:eastAsia="Times New Roman" w:hAnsi="Times New Roman" w:cs="Times New Roman"/>
        </w:rPr>
      </w:pPr>
      <w:r w:rsidRPr="004421BB">
        <w:rPr>
          <w:rFonts w:ascii="Times New Roman" w:hAnsi="Times New Roman" w:cs="Times New Roman"/>
          <w:sz w:val="24"/>
          <w:szCs w:val="24"/>
        </w:rPr>
        <w:t xml:space="preserve"> </w:t>
      </w:r>
    </w:p>
    <w:p w:rsidR="00556DEB" w:rsidRPr="00225166" w:rsidRDefault="00556DEB">
      <w:pPr>
        <w:pStyle w:val="Body"/>
        <w:spacing w:line="480" w:lineRule="auto"/>
        <w:rPr>
          <w:rFonts w:ascii="Times New Roman" w:eastAsia="Times New Roman" w:hAnsi="Times New Roman" w:cs="Times New Roman"/>
          <w:b/>
          <w:bCs/>
          <w:sz w:val="24"/>
          <w:szCs w:val="24"/>
        </w:rPr>
      </w:pPr>
    </w:p>
    <w:p w:rsidR="00556DEB" w:rsidRPr="00225166" w:rsidRDefault="000F31CF">
      <w:pPr>
        <w:pStyle w:val="Body"/>
        <w:spacing w:line="480" w:lineRule="auto"/>
        <w:jc w:val="center"/>
        <w:rPr>
          <w:rFonts w:ascii="Times New Roman" w:eastAsia="Times New Roman" w:hAnsi="Times New Roman" w:cs="Times New Roman"/>
          <w:b/>
          <w:bCs/>
          <w:sz w:val="24"/>
          <w:szCs w:val="24"/>
        </w:rPr>
      </w:pPr>
      <w:r w:rsidRPr="004421BB">
        <w:rPr>
          <w:rFonts w:ascii="Times New Roman" w:hAnsi="Times New Roman" w:cs="Times New Roman"/>
          <w:b/>
          <w:bCs/>
          <w:sz w:val="24"/>
          <w:szCs w:val="24"/>
        </w:rPr>
        <w:t xml:space="preserve"> </w:t>
      </w:r>
    </w:p>
    <w:p w:rsidR="00556DEB" w:rsidRPr="001A25AC" w:rsidRDefault="000F31CF">
      <w:pPr>
        <w:pStyle w:val="Body"/>
        <w:rPr>
          <w:rFonts w:ascii="Times New Roman" w:hAnsi="Times New Roman" w:cs="Times New Roman"/>
        </w:rPr>
      </w:pPr>
      <w:r w:rsidRPr="001A25AC">
        <w:rPr>
          <w:rFonts w:ascii="Times New Roman" w:hAnsi="Times New Roman" w:cs="Times New Roman"/>
          <w:sz w:val="24"/>
          <w:szCs w:val="24"/>
        </w:rPr>
        <w:br w:type="page"/>
      </w:r>
    </w:p>
    <w:p w:rsidR="00556DEB" w:rsidRPr="00225166" w:rsidRDefault="000F31CF">
      <w:pPr>
        <w:pStyle w:val="Body"/>
        <w:spacing w:line="480" w:lineRule="auto"/>
        <w:jc w:val="center"/>
        <w:rPr>
          <w:rFonts w:ascii="Times New Roman" w:eastAsia="Times New Roman" w:hAnsi="Times New Roman" w:cs="Times New Roman"/>
          <w:sz w:val="24"/>
          <w:szCs w:val="24"/>
        </w:rPr>
      </w:pPr>
      <w:proofErr w:type="spellStart"/>
      <w:r w:rsidRPr="00225166">
        <w:rPr>
          <w:rFonts w:ascii="Times New Roman" w:hAnsi="Times New Roman" w:cs="Times New Roman"/>
          <w:b/>
          <w:bCs/>
          <w:sz w:val="24"/>
          <w:szCs w:val="24"/>
          <w:lang w:val="fr-FR"/>
        </w:rPr>
        <w:lastRenderedPageBreak/>
        <w:t>References</w:t>
      </w:r>
      <w:proofErr w:type="spellEnd"/>
    </w:p>
    <w:p w:rsidR="00556DEB" w:rsidRPr="001A25AC" w:rsidRDefault="000F31CF">
      <w:pPr>
        <w:pStyle w:val="Body"/>
        <w:spacing w:line="480" w:lineRule="auto"/>
        <w:rPr>
          <w:rFonts w:ascii="Times New Roman" w:eastAsia="Times New Roman" w:hAnsi="Times New Roman" w:cs="Times New Roman"/>
          <w:sz w:val="24"/>
          <w:szCs w:val="24"/>
        </w:rPr>
      </w:pPr>
      <w:r w:rsidRPr="00470550">
        <w:rPr>
          <w:rFonts w:ascii="Times New Roman" w:hAnsi="Times New Roman" w:cs="Times New Roman"/>
          <w:sz w:val="24"/>
          <w:szCs w:val="24"/>
        </w:rPr>
        <w:t xml:space="preserve">Agarwal, P. K., &amp; Bain, P. M. (2019). </w:t>
      </w:r>
      <w:r w:rsidRPr="00470550">
        <w:rPr>
          <w:rFonts w:ascii="Times New Roman" w:hAnsi="Times New Roman" w:cs="Times New Roman"/>
          <w:i/>
          <w:iCs/>
          <w:sz w:val="24"/>
          <w:szCs w:val="24"/>
        </w:rPr>
        <w:t>Powerful teaching: Unleash the science of learning</w:t>
      </w:r>
      <w:r w:rsidRPr="001A25AC">
        <w:rPr>
          <w:rFonts w:ascii="Times New Roman" w:hAnsi="Times New Roman" w:cs="Times New Roman"/>
          <w:sz w:val="24"/>
          <w:szCs w:val="24"/>
        </w:rPr>
        <w:t xml:space="preserve">. </w:t>
      </w:r>
      <w:r w:rsidRPr="001A25AC">
        <w:rPr>
          <w:rFonts w:ascii="Times New Roman" w:hAnsi="Times New Roman" w:cs="Times New Roman"/>
          <w:sz w:val="24"/>
          <w:szCs w:val="24"/>
        </w:rPr>
        <w:tab/>
        <w:t xml:space="preserve">Jossey-Bass, A Wiley Brand. </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Fonts w:ascii="Times New Roman" w:hAnsi="Times New Roman" w:cs="Times New Roman"/>
          <w:sz w:val="24"/>
          <w:szCs w:val="24"/>
        </w:rPr>
        <w:t xml:space="preserve">American Psychological Association. (n.d.). Embodied cognition. In </w:t>
      </w:r>
      <w:r w:rsidRPr="001A25AC">
        <w:rPr>
          <w:rFonts w:ascii="Times New Roman" w:hAnsi="Times New Roman" w:cs="Times New Roman"/>
          <w:i/>
          <w:iCs/>
          <w:sz w:val="24"/>
          <w:szCs w:val="24"/>
        </w:rPr>
        <w:t xml:space="preserve">APA dictionary of </w:t>
      </w:r>
      <w:r w:rsidRPr="001A25AC">
        <w:rPr>
          <w:rFonts w:ascii="Times New Roman" w:hAnsi="Times New Roman" w:cs="Times New Roman"/>
          <w:i/>
          <w:iCs/>
          <w:sz w:val="24"/>
          <w:szCs w:val="24"/>
        </w:rPr>
        <w:tab/>
        <w:t>psychology.</w:t>
      </w:r>
      <w:r w:rsidRPr="001A25AC">
        <w:rPr>
          <w:rFonts w:ascii="Times New Roman" w:hAnsi="Times New Roman" w:cs="Times New Roman"/>
          <w:sz w:val="24"/>
          <w:szCs w:val="24"/>
        </w:rPr>
        <w:t xml:space="preserve"> </w:t>
      </w:r>
      <w:hyperlink r:id="rId12" w:history="1">
        <w:r w:rsidRPr="00470550">
          <w:rPr>
            <w:rStyle w:val="Hyperlink1"/>
            <w:rFonts w:eastAsia="Arial Unicode MS"/>
          </w:rPr>
          <w:t>https://dictionary.apa.org/embodied-cognition</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Argyris, C. (1957). </w:t>
      </w:r>
      <w:r w:rsidRPr="00470550">
        <w:rPr>
          <w:rStyle w:val="None"/>
          <w:rFonts w:ascii="Times New Roman" w:hAnsi="Times New Roman" w:cs="Times New Roman"/>
          <w:i/>
          <w:iCs/>
          <w:sz w:val="24"/>
          <w:szCs w:val="24"/>
          <w:lang w:val="it-IT"/>
        </w:rPr>
        <w:t xml:space="preserve">Personality and organization: The conflict between system and the </w:t>
      </w:r>
      <w:r w:rsidRPr="00470550">
        <w:rPr>
          <w:rStyle w:val="None"/>
          <w:rFonts w:ascii="Times New Roman" w:hAnsi="Times New Roman" w:cs="Times New Roman"/>
          <w:i/>
          <w:iCs/>
          <w:sz w:val="24"/>
          <w:szCs w:val="24"/>
          <w:lang w:val="it-IT"/>
        </w:rPr>
        <w:tab/>
        <w:t>individual</w:t>
      </w:r>
      <w:r w:rsidRPr="001A25AC">
        <w:rPr>
          <w:rStyle w:val="None"/>
          <w:rFonts w:ascii="Times New Roman" w:hAnsi="Times New Roman" w:cs="Times New Roman"/>
          <w:sz w:val="24"/>
          <w:szCs w:val="24"/>
        </w:rPr>
        <w:t>. Harper &amp; Row.</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lang w:val="it-IT"/>
        </w:rPr>
        <w:t xml:space="preserve">Barnes, M. C., Fogg, A. H., Stephens, C. N., &amp; Titman, L. G. (2013). </w:t>
      </w:r>
      <w:r w:rsidRPr="00470550">
        <w:rPr>
          <w:rStyle w:val="None"/>
          <w:rFonts w:ascii="Times New Roman" w:hAnsi="Times New Roman" w:cs="Times New Roman"/>
          <w:i/>
          <w:iCs/>
          <w:sz w:val="24"/>
          <w:szCs w:val="24"/>
        </w:rPr>
        <w:t xml:space="preserve">Company organization </w:t>
      </w:r>
      <w:r w:rsidRPr="00470550">
        <w:rPr>
          <w:rStyle w:val="None"/>
          <w:rFonts w:ascii="Times New Roman" w:hAnsi="Times New Roman" w:cs="Times New Roman"/>
          <w:i/>
          <w:iCs/>
          <w:sz w:val="24"/>
          <w:szCs w:val="24"/>
        </w:rPr>
        <w:tab/>
        <w:t>(RLE: Organizations): Theory and Practice</w:t>
      </w:r>
      <w:r w:rsidRPr="001A25AC">
        <w:rPr>
          <w:rStyle w:val="None"/>
          <w:rFonts w:ascii="Times New Roman" w:hAnsi="Times New Roman" w:cs="Times New Roman"/>
          <w:sz w:val="24"/>
          <w:szCs w:val="24"/>
        </w:rPr>
        <w:t>. Routledge.</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lang w:val="de-DE"/>
        </w:rPr>
        <w:t>Boaler, J., Dieckmann, J. A., LaMar, T., Leshin, M., Selbach-Allen, M., &amp; P</w:t>
      </w:r>
      <w:r w:rsidRPr="001A25AC">
        <w:rPr>
          <w:rStyle w:val="None"/>
          <w:rFonts w:ascii="Times New Roman" w:hAnsi="Times New Roman" w:cs="Times New Roman"/>
          <w:sz w:val="24"/>
          <w:szCs w:val="24"/>
        </w:rPr>
        <w:t>é</w:t>
      </w:r>
      <w:proofErr w:type="spellStart"/>
      <w:r w:rsidRPr="001A25AC">
        <w:rPr>
          <w:rStyle w:val="None"/>
          <w:rFonts w:ascii="Times New Roman" w:hAnsi="Times New Roman" w:cs="Times New Roman"/>
          <w:sz w:val="24"/>
          <w:szCs w:val="24"/>
          <w:lang w:val="fr-FR"/>
        </w:rPr>
        <w:t>rez</w:t>
      </w:r>
      <w:proofErr w:type="spellEnd"/>
      <w:r w:rsidRPr="001A25AC">
        <w:rPr>
          <w:rStyle w:val="None"/>
          <w:rFonts w:ascii="Times New Roman" w:hAnsi="Times New Roman" w:cs="Times New Roman"/>
          <w:sz w:val="24"/>
          <w:szCs w:val="24"/>
          <w:lang w:val="fr-FR"/>
        </w:rPr>
        <w:t>-N</w:t>
      </w:r>
      <w:proofErr w:type="spellStart"/>
      <w:r w:rsidRPr="001A25AC">
        <w:rPr>
          <w:rStyle w:val="None"/>
          <w:rFonts w:ascii="Times New Roman" w:hAnsi="Times New Roman" w:cs="Times New Roman"/>
          <w:sz w:val="24"/>
          <w:szCs w:val="24"/>
        </w:rPr>
        <w:t>úñez</w:t>
      </w:r>
      <w:proofErr w:type="spellEnd"/>
      <w:r w:rsidRPr="001A25AC">
        <w:rPr>
          <w:rStyle w:val="None"/>
          <w:rFonts w:ascii="Times New Roman" w:hAnsi="Times New Roman" w:cs="Times New Roman"/>
          <w:sz w:val="24"/>
          <w:szCs w:val="24"/>
        </w:rPr>
        <w:t xml:space="preserve">, G. </w:t>
      </w:r>
      <w:r w:rsidRPr="001A25AC">
        <w:rPr>
          <w:rStyle w:val="None"/>
          <w:rFonts w:ascii="Times New Roman" w:hAnsi="Times New Roman" w:cs="Times New Roman"/>
          <w:sz w:val="24"/>
          <w:szCs w:val="24"/>
        </w:rPr>
        <w:tab/>
        <w:t xml:space="preserve">(2021). The transformative impact of a mathematical mindset experience taught at scale. </w:t>
      </w:r>
      <w:r w:rsidRPr="001A25AC">
        <w:rPr>
          <w:rStyle w:val="None"/>
          <w:rFonts w:ascii="Times New Roman" w:hAnsi="Times New Roman" w:cs="Times New Roman"/>
          <w:sz w:val="24"/>
          <w:szCs w:val="24"/>
        </w:rPr>
        <w:tab/>
      </w:r>
      <w:proofErr w:type="spellStart"/>
      <w:r w:rsidRPr="001A25AC">
        <w:rPr>
          <w:rStyle w:val="None"/>
          <w:rFonts w:ascii="Times New Roman" w:hAnsi="Times New Roman" w:cs="Times New Roman"/>
          <w:i/>
          <w:iCs/>
          <w:sz w:val="24"/>
          <w:szCs w:val="24"/>
          <w:lang w:val="fr-FR"/>
        </w:rPr>
        <w:t>Frontiers</w:t>
      </w:r>
      <w:proofErr w:type="spellEnd"/>
      <w:r w:rsidRPr="001A25AC">
        <w:rPr>
          <w:rStyle w:val="None"/>
          <w:rFonts w:ascii="Times New Roman" w:hAnsi="Times New Roman" w:cs="Times New Roman"/>
          <w:i/>
          <w:iCs/>
          <w:sz w:val="24"/>
          <w:szCs w:val="24"/>
          <w:lang w:val="fr-FR"/>
        </w:rPr>
        <w:t xml:space="preserve"> in Education</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6</w:t>
      </w:r>
      <w:r w:rsidRPr="001A25AC">
        <w:rPr>
          <w:rStyle w:val="None"/>
          <w:rFonts w:ascii="Times New Roman" w:hAnsi="Times New Roman" w:cs="Times New Roman"/>
          <w:sz w:val="24"/>
          <w:szCs w:val="24"/>
        </w:rPr>
        <w:t xml:space="preserve">. </w:t>
      </w:r>
      <w:hyperlink r:id="rId13" w:history="1">
        <w:r w:rsidRPr="00470550">
          <w:rPr>
            <w:rStyle w:val="Hyperlink2"/>
            <w:rFonts w:eastAsia="Arial Unicode MS"/>
          </w:rPr>
          <w:t>https://doi.org/10.3389/feduc.2021.784393</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Bolman, L. G., &amp; Deal, T. E. (2013). </w:t>
      </w:r>
      <w:r w:rsidRPr="00470550">
        <w:rPr>
          <w:rStyle w:val="None"/>
          <w:rFonts w:ascii="Times New Roman" w:hAnsi="Times New Roman" w:cs="Times New Roman"/>
          <w:i/>
          <w:iCs/>
          <w:sz w:val="24"/>
          <w:szCs w:val="24"/>
        </w:rPr>
        <w:t>Reframing organizations: Artistry, choice, and leadership</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sz w:val="24"/>
          <w:szCs w:val="24"/>
        </w:rPr>
        <w:tab/>
        <w:t>Jossey-Bass, A Wiley Brand.</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lang w:val="it-IT"/>
        </w:rPr>
        <w:t xml:space="preserve">Bryk, A. S., Sebring, P. B., Allensworth, E., Easton, J. Q., &amp; Luppescu, S. (2010). </w:t>
      </w:r>
      <w:r w:rsidRPr="00470550">
        <w:rPr>
          <w:rStyle w:val="None"/>
          <w:rFonts w:ascii="Times New Roman" w:hAnsi="Times New Roman" w:cs="Times New Roman"/>
          <w:i/>
          <w:iCs/>
          <w:sz w:val="24"/>
          <w:szCs w:val="24"/>
        </w:rPr>
        <w:t xml:space="preserve">Organizing </w:t>
      </w:r>
      <w:r w:rsidRPr="00470550">
        <w:rPr>
          <w:rStyle w:val="None"/>
          <w:rFonts w:ascii="Times New Roman" w:hAnsi="Times New Roman" w:cs="Times New Roman"/>
          <w:i/>
          <w:iCs/>
          <w:sz w:val="24"/>
          <w:szCs w:val="24"/>
        </w:rPr>
        <w:tab/>
      </w:r>
      <w:r w:rsidRPr="001A25AC">
        <w:rPr>
          <w:rStyle w:val="None"/>
          <w:rFonts w:ascii="Times New Roman" w:hAnsi="Times New Roman" w:cs="Times New Roman"/>
          <w:i/>
          <w:iCs/>
          <w:sz w:val="24"/>
          <w:szCs w:val="24"/>
        </w:rPr>
        <w:t>schools for improvement: Lessons from Chicago</w:t>
      </w:r>
      <w:r w:rsidRPr="001A25AC">
        <w:rPr>
          <w:rStyle w:val="None"/>
          <w:rFonts w:ascii="Times New Roman" w:hAnsi="Times New Roman" w:cs="Times New Roman"/>
          <w:sz w:val="24"/>
          <w:szCs w:val="24"/>
        </w:rPr>
        <w:t>. University of Chicago Press.</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California Department of Education (2023). </w:t>
      </w:r>
      <w:r w:rsidRPr="00470550">
        <w:rPr>
          <w:rStyle w:val="None"/>
          <w:rFonts w:ascii="Times New Roman" w:hAnsi="Times New Roman" w:cs="Times New Roman"/>
          <w:i/>
          <w:iCs/>
          <w:sz w:val="24"/>
          <w:szCs w:val="24"/>
        </w:rPr>
        <w:t>California mathematics framework</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sz w:val="24"/>
          <w:szCs w:val="24"/>
        </w:rPr>
        <w:tab/>
        <w:t>https://www.cde.ca.gov/ci/ma/cf/</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Pr>
        <w:t xml:space="preserve">Common Core State Standards Initiative. (n.d.). </w:t>
      </w:r>
      <w:r w:rsidRPr="00470550">
        <w:rPr>
          <w:rStyle w:val="None"/>
          <w:i/>
          <w:iCs/>
        </w:rPr>
        <w:t>Mathematics standards</w:t>
      </w:r>
      <w:r w:rsidRPr="001A25AC">
        <w:rPr>
          <w:rStyle w:val="None"/>
          <w:rFonts w:cs="Times New Roman"/>
        </w:rPr>
        <w:t xml:space="preserve">. </w:t>
      </w:r>
      <w:r w:rsidRPr="001A25AC">
        <w:rPr>
          <w:rStyle w:val="None"/>
          <w:rFonts w:cs="Times New Roman"/>
        </w:rPr>
        <w:tab/>
      </w:r>
      <w:hyperlink r:id="rId14" w:history="1">
        <w:r w:rsidRPr="00470550">
          <w:rPr>
            <w:rStyle w:val="Hyperlink3"/>
            <w:rFonts w:eastAsia="Arial Unicode MS"/>
          </w:rPr>
          <w:t>https://www.thecorestandards.org/Math/</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Darling, E. J. S. (2010). </w:t>
      </w:r>
      <w:r w:rsidRPr="00470550">
        <w:rPr>
          <w:rStyle w:val="None"/>
          <w:rFonts w:ascii="Times New Roman" w:hAnsi="Times New Roman" w:cs="Times New Roman"/>
          <w:i/>
          <w:iCs/>
          <w:sz w:val="24"/>
          <w:szCs w:val="24"/>
          <w:lang w:val="nl-NL"/>
        </w:rPr>
        <w:t xml:space="preserve">Access to Algebra I, gateway to success: The impact of eighth-grade </w:t>
      </w:r>
      <w:r w:rsidRPr="00470550">
        <w:rPr>
          <w:rStyle w:val="None"/>
          <w:rFonts w:ascii="Times New Roman" w:hAnsi="Times New Roman" w:cs="Times New Roman"/>
          <w:i/>
          <w:iCs/>
          <w:sz w:val="24"/>
          <w:szCs w:val="24"/>
          <w:lang w:val="nl-NL"/>
        </w:rPr>
        <w:tab/>
        <w:t xml:space="preserve">Algebra </w:t>
      </w:r>
      <w:r w:rsidRPr="001A25AC">
        <w:rPr>
          <w:rStyle w:val="None"/>
          <w:rFonts w:ascii="Times New Roman" w:hAnsi="Times New Roman" w:cs="Times New Roman"/>
          <w:i/>
          <w:iCs/>
          <w:sz w:val="24"/>
          <w:szCs w:val="24"/>
          <w:lang w:val="nl-NL"/>
        </w:rPr>
        <w:t xml:space="preserve">I </w:t>
      </w:r>
      <w:r w:rsidRPr="001A25AC">
        <w:rPr>
          <w:rStyle w:val="None"/>
          <w:rFonts w:ascii="Times New Roman" w:hAnsi="Times New Roman" w:cs="Times New Roman"/>
          <w:sz w:val="24"/>
          <w:szCs w:val="24"/>
        </w:rPr>
        <w:t xml:space="preserve">(Paper No. 1714) [Doctoral dissertation, East Tennessee State University]. </w:t>
      </w:r>
      <w:r w:rsidRPr="001A25AC">
        <w:rPr>
          <w:rStyle w:val="None"/>
          <w:rFonts w:ascii="Times New Roman" w:hAnsi="Times New Roman" w:cs="Times New Roman"/>
          <w:sz w:val="24"/>
          <w:szCs w:val="24"/>
        </w:rPr>
        <w:tab/>
        <w:t>Electronic Theses and Dissertations.</w:t>
      </w:r>
      <w:r w:rsidR="00470550">
        <w:rPr>
          <w:rStyle w:val="None"/>
          <w:rFonts w:ascii="Times New Roman" w:hAnsi="Times New Roman" w:cs="Times New Roman"/>
          <w:sz w:val="24"/>
          <w:szCs w:val="24"/>
        </w:rPr>
        <w:t xml:space="preserve"> </w:t>
      </w:r>
      <w:r w:rsidR="00470550" w:rsidRPr="00470550">
        <w:rPr>
          <w:rStyle w:val="None"/>
          <w:rFonts w:ascii="Times New Roman" w:hAnsi="Times New Roman" w:cs="Times New Roman"/>
          <w:sz w:val="24"/>
          <w:szCs w:val="24"/>
        </w:rPr>
        <w:t xml:space="preserve">https://dc.etsu.edu/etd/1714/ </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sz w:val="24"/>
          <w:szCs w:val="24"/>
        </w:rPr>
        <w:tab/>
      </w:r>
      <w:r w:rsidRPr="00470550">
        <w:rPr>
          <w:rStyle w:val="None"/>
          <w:rFonts w:ascii="Times New Roman" w:hAnsi="Times New Roman" w:cs="Times New Roman"/>
          <w:sz w:val="24"/>
          <w:szCs w:val="24"/>
        </w:rPr>
        <w:t xml:space="preserve"> </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Davis, A. Y. (1984). </w:t>
      </w:r>
      <w:r w:rsidRPr="00470550">
        <w:rPr>
          <w:rStyle w:val="None"/>
          <w:rFonts w:ascii="Times New Roman" w:hAnsi="Times New Roman" w:cs="Times New Roman"/>
          <w:i/>
          <w:iCs/>
          <w:sz w:val="24"/>
          <w:szCs w:val="24"/>
        </w:rPr>
        <w:t>Women, culture &amp; politics</w:t>
      </w:r>
      <w:r w:rsidRPr="001A25AC">
        <w:rPr>
          <w:rStyle w:val="None"/>
          <w:rFonts w:ascii="Times New Roman" w:hAnsi="Times New Roman" w:cs="Times New Roman"/>
          <w:sz w:val="24"/>
          <w:szCs w:val="24"/>
        </w:rPr>
        <w:t>. Vintage.</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lastRenderedPageBreak/>
        <w:t xml:space="preserve">De </w:t>
      </w:r>
      <w:proofErr w:type="spellStart"/>
      <w:r w:rsidRPr="00470550">
        <w:rPr>
          <w:rStyle w:val="None"/>
          <w:rFonts w:ascii="Times New Roman" w:hAnsi="Times New Roman" w:cs="Times New Roman"/>
          <w:sz w:val="24"/>
          <w:szCs w:val="24"/>
        </w:rPr>
        <w:t>Keersmaeker</w:t>
      </w:r>
      <w:proofErr w:type="spellEnd"/>
      <w:r w:rsidRPr="00470550">
        <w:rPr>
          <w:rStyle w:val="None"/>
          <w:rFonts w:ascii="Times New Roman" w:hAnsi="Times New Roman" w:cs="Times New Roman"/>
          <w:sz w:val="24"/>
          <w:szCs w:val="24"/>
        </w:rPr>
        <w:t xml:space="preserve">, K., Van Hoof, J., &amp; Van </w:t>
      </w:r>
      <w:proofErr w:type="spellStart"/>
      <w:r w:rsidRPr="00470550">
        <w:rPr>
          <w:rStyle w:val="None"/>
          <w:rFonts w:ascii="Times New Roman" w:hAnsi="Times New Roman" w:cs="Times New Roman"/>
          <w:sz w:val="24"/>
          <w:szCs w:val="24"/>
        </w:rPr>
        <w:t>Dooren</w:t>
      </w:r>
      <w:proofErr w:type="spellEnd"/>
      <w:r w:rsidRPr="00470550">
        <w:rPr>
          <w:rStyle w:val="None"/>
          <w:rFonts w:ascii="Times New Roman" w:hAnsi="Times New Roman" w:cs="Times New Roman"/>
          <w:sz w:val="24"/>
          <w:szCs w:val="24"/>
        </w:rPr>
        <w:t xml:space="preserve">, W. (2022). The relationship between primary </w:t>
      </w:r>
      <w:r w:rsidRPr="00470550">
        <w:rPr>
          <w:rStyle w:val="None"/>
          <w:rFonts w:ascii="Times New Roman" w:hAnsi="Times New Roman" w:cs="Times New Roman"/>
          <w:sz w:val="24"/>
          <w:szCs w:val="24"/>
        </w:rPr>
        <w:tab/>
        <w:t>school children</w:t>
      </w:r>
      <w:r w:rsidR="00F53672">
        <w:rPr>
          <w:rStyle w:val="None"/>
          <w:rFonts w:ascii="Times New Roman" w:hAnsi="Times New Roman" w:cs="Times New Roman"/>
          <w:sz w:val="24"/>
          <w:szCs w:val="24"/>
        </w:rPr>
        <w:t>’</w:t>
      </w:r>
      <w:r w:rsidRPr="00470550">
        <w:rPr>
          <w:rStyle w:val="None"/>
          <w:rFonts w:ascii="Times New Roman" w:hAnsi="Times New Roman" w:cs="Times New Roman"/>
          <w:sz w:val="24"/>
          <w:szCs w:val="24"/>
        </w:rPr>
        <w:t xml:space="preserve">s inhibition and the processing of rational numbers. </w:t>
      </w:r>
      <w:r w:rsidRPr="001A25AC">
        <w:rPr>
          <w:rStyle w:val="None"/>
          <w:rFonts w:ascii="Times New Roman" w:hAnsi="Times New Roman" w:cs="Times New Roman"/>
          <w:i/>
          <w:iCs/>
          <w:sz w:val="24"/>
          <w:szCs w:val="24"/>
        </w:rPr>
        <w:t xml:space="preserve">European Journal of </w:t>
      </w:r>
      <w:r w:rsidRPr="001A25AC">
        <w:rPr>
          <w:rStyle w:val="None"/>
          <w:rFonts w:ascii="Times New Roman" w:hAnsi="Times New Roman" w:cs="Times New Roman"/>
          <w:i/>
          <w:iCs/>
          <w:sz w:val="24"/>
          <w:szCs w:val="24"/>
        </w:rPr>
        <w:tab/>
        <w:t>Psychology of Education</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38</w:t>
      </w:r>
      <w:r w:rsidRPr="001A25AC">
        <w:rPr>
          <w:rStyle w:val="None"/>
          <w:rFonts w:ascii="Times New Roman" w:hAnsi="Times New Roman" w:cs="Times New Roman"/>
          <w:sz w:val="24"/>
          <w:szCs w:val="24"/>
        </w:rPr>
        <w:t xml:space="preserve">(4), 1527–1549. </w:t>
      </w:r>
      <w:hyperlink r:id="rId15" w:history="1">
        <w:r w:rsidRPr="00470550">
          <w:rPr>
            <w:rStyle w:val="Hyperlink2"/>
            <w:rFonts w:eastAsia="Arial Unicode MS"/>
          </w:rPr>
          <w:t>https://doi.org/10.1007/s10212-022-00669-y</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proofErr w:type="spellStart"/>
      <w:r w:rsidRPr="00470550">
        <w:rPr>
          <w:rStyle w:val="None"/>
          <w:rFonts w:ascii="Times New Roman" w:hAnsi="Times New Roman" w:cs="Times New Roman"/>
          <w:sz w:val="24"/>
          <w:szCs w:val="24"/>
        </w:rPr>
        <w:t>Doroudi</w:t>
      </w:r>
      <w:proofErr w:type="spellEnd"/>
      <w:r w:rsidRPr="00470550">
        <w:rPr>
          <w:rStyle w:val="None"/>
          <w:rFonts w:ascii="Times New Roman" w:hAnsi="Times New Roman" w:cs="Times New Roman"/>
          <w:sz w:val="24"/>
          <w:szCs w:val="24"/>
        </w:rPr>
        <w:t xml:space="preserve">, S., </w:t>
      </w:r>
      <w:proofErr w:type="spellStart"/>
      <w:r w:rsidRPr="00470550">
        <w:rPr>
          <w:rStyle w:val="None"/>
          <w:rFonts w:ascii="Times New Roman" w:hAnsi="Times New Roman" w:cs="Times New Roman"/>
          <w:sz w:val="24"/>
          <w:szCs w:val="24"/>
        </w:rPr>
        <w:t>Aleven</w:t>
      </w:r>
      <w:proofErr w:type="spellEnd"/>
      <w:r w:rsidRPr="00470550">
        <w:rPr>
          <w:rStyle w:val="None"/>
          <w:rFonts w:ascii="Times New Roman" w:hAnsi="Times New Roman" w:cs="Times New Roman"/>
          <w:sz w:val="24"/>
          <w:szCs w:val="24"/>
        </w:rPr>
        <w:t xml:space="preserve">, V., &amp; </w:t>
      </w:r>
      <w:proofErr w:type="spellStart"/>
      <w:r w:rsidRPr="00470550">
        <w:rPr>
          <w:rStyle w:val="None"/>
          <w:rFonts w:ascii="Times New Roman" w:hAnsi="Times New Roman" w:cs="Times New Roman"/>
          <w:sz w:val="24"/>
          <w:szCs w:val="24"/>
        </w:rPr>
        <w:t>Brunskill</w:t>
      </w:r>
      <w:proofErr w:type="spellEnd"/>
      <w:r w:rsidRPr="00470550">
        <w:rPr>
          <w:rStyle w:val="None"/>
          <w:rFonts w:ascii="Times New Roman" w:hAnsi="Times New Roman" w:cs="Times New Roman"/>
          <w:sz w:val="24"/>
          <w:szCs w:val="24"/>
        </w:rPr>
        <w:t xml:space="preserve">, E. (2019). Where’s the reward? A review of reinforcement </w:t>
      </w:r>
      <w:r w:rsidRPr="00470550">
        <w:rPr>
          <w:rStyle w:val="None"/>
          <w:rFonts w:ascii="Times New Roman" w:hAnsi="Times New Roman" w:cs="Times New Roman"/>
          <w:sz w:val="24"/>
          <w:szCs w:val="24"/>
        </w:rPr>
        <w:tab/>
        <w:t xml:space="preserve">learning for instructional sequencing. </w:t>
      </w:r>
      <w:r w:rsidRPr="001A25AC">
        <w:rPr>
          <w:rStyle w:val="None"/>
          <w:rFonts w:ascii="Times New Roman" w:hAnsi="Times New Roman" w:cs="Times New Roman"/>
          <w:i/>
          <w:iCs/>
          <w:sz w:val="24"/>
          <w:szCs w:val="24"/>
        </w:rPr>
        <w:t xml:space="preserve">International Journal of Artificial Intelligence in </w:t>
      </w:r>
      <w:r w:rsidRPr="001A25AC">
        <w:rPr>
          <w:rStyle w:val="None"/>
          <w:rFonts w:ascii="Times New Roman" w:hAnsi="Times New Roman" w:cs="Times New Roman"/>
          <w:i/>
          <w:iCs/>
          <w:sz w:val="24"/>
          <w:szCs w:val="24"/>
        </w:rPr>
        <w:tab/>
        <w:t>Education</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29</w:t>
      </w:r>
      <w:r w:rsidRPr="001A25AC">
        <w:rPr>
          <w:rStyle w:val="None"/>
          <w:rFonts w:ascii="Times New Roman" w:hAnsi="Times New Roman" w:cs="Times New Roman"/>
          <w:sz w:val="24"/>
          <w:szCs w:val="24"/>
        </w:rPr>
        <w:t xml:space="preserve">(4), 568–620. </w:t>
      </w:r>
      <w:r w:rsidRPr="00470550">
        <w:rPr>
          <w:rStyle w:val="None"/>
          <w:rFonts w:ascii="Times New Roman" w:eastAsia="Times New Roman" w:hAnsi="Times New Roman" w:cs="Times New Roman"/>
          <w:sz w:val="24"/>
          <w:szCs w:val="24"/>
        </w:rPr>
        <w:br/>
      </w:r>
      <w:r w:rsidRPr="00470550">
        <w:rPr>
          <w:rStyle w:val="None"/>
          <w:rFonts w:ascii="Times New Roman" w:eastAsia="Times New Roman" w:hAnsi="Times New Roman" w:cs="Times New Roman"/>
          <w:sz w:val="24"/>
          <w:szCs w:val="24"/>
        </w:rPr>
        <w:tab/>
      </w:r>
      <w:hyperlink r:id="rId16" w:history="1">
        <w:r w:rsidRPr="00470550">
          <w:rPr>
            <w:rStyle w:val="Hyperlink2"/>
            <w:rFonts w:eastAsia="Arial Unicode MS"/>
          </w:rPr>
          <w:t>https://link.springer.com/article/10.1007/s40593-019-00187-x</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proofErr w:type="spellStart"/>
      <w:r w:rsidRPr="00470550">
        <w:rPr>
          <w:rStyle w:val="None"/>
          <w:rFonts w:ascii="Times New Roman" w:hAnsi="Times New Roman" w:cs="Times New Roman"/>
          <w:sz w:val="24"/>
          <w:szCs w:val="24"/>
        </w:rPr>
        <w:t>Ertmer</w:t>
      </w:r>
      <w:proofErr w:type="spellEnd"/>
      <w:r w:rsidRPr="00470550">
        <w:rPr>
          <w:rStyle w:val="None"/>
          <w:rFonts w:ascii="Times New Roman" w:hAnsi="Times New Roman" w:cs="Times New Roman"/>
          <w:sz w:val="24"/>
          <w:szCs w:val="24"/>
        </w:rPr>
        <w:t xml:space="preserve">, P. A., &amp; Newby, T. J. (2013). Behaviorism, cognitivism, constructivism: Comparing </w:t>
      </w:r>
      <w:r w:rsidRPr="00470550">
        <w:rPr>
          <w:rStyle w:val="None"/>
          <w:rFonts w:ascii="Times New Roman" w:hAnsi="Times New Roman" w:cs="Times New Roman"/>
          <w:sz w:val="24"/>
          <w:szCs w:val="24"/>
        </w:rPr>
        <w:tab/>
        <w:t xml:space="preserve">critical features from an instructional design perspective. </w:t>
      </w:r>
      <w:r w:rsidRPr="001A25AC">
        <w:rPr>
          <w:rStyle w:val="None"/>
          <w:rFonts w:ascii="Times New Roman" w:hAnsi="Times New Roman" w:cs="Times New Roman"/>
          <w:i/>
          <w:iCs/>
          <w:sz w:val="24"/>
          <w:szCs w:val="24"/>
        </w:rPr>
        <w:t xml:space="preserve">Performance Improvement </w:t>
      </w:r>
      <w:r w:rsidRPr="001A25AC">
        <w:rPr>
          <w:rStyle w:val="None"/>
          <w:rFonts w:ascii="Times New Roman" w:hAnsi="Times New Roman" w:cs="Times New Roman"/>
          <w:i/>
          <w:iCs/>
          <w:sz w:val="24"/>
          <w:szCs w:val="24"/>
        </w:rPr>
        <w:tab/>
        <w:t>Quarterly</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26</w:t>
      </w:r>
      <w:r w:rsidRPr="001A25AC">
        <w:rPr>
          <w:rStyle w:val="None"/>
          <w:rFonts w:ascii="Times New Roman" w:hAnsi="Times New Roman" w:cs="Times New Roman"/>
          <w:sz w:val="24"/>
          <w:szCs w:val="24"/>
        </w:rPr>
        <w:t xml:space="preserve">(2), 43–71. </w:t>
      </w:r>
      <w:hyperlink r:id="rId17" w:history="1">
        <w:r w:rsidRPr="00470550">
          <w:rPr>
            <w:rStyle w:val="Hyperlink2"/>
            <w:rFonts w:eastAsia="Arial Unicode MS"/>
          </w:rPr>
          <w:t>https://doi.org/10.1002/piq.21143</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Holland, N. (2022). Equity in STEM through culturally responsive pedagogy. </w:t>
      </w:r>
      <w:r w:rsidRPr="001A25AC">
        <w:rPr>
          <w:rStyle w:val="None"/>
          <w:rFonts w:ascii="Times New Roman" w:hAnsi="Times New Roman" w:cs="Times New Roman"/>
          <w:i/>
          <w:iCs/>
          <w:sz w:val="24"/>
          <w:szCs w:val="24"/>
        </w:rPr>
        <w:t xml:space="preserve">The Physics </w:t>
      </w:r>
      <w:r w:rsidRPr="001A25AC">
        <w:rPr>
          <w:rStyle w:val="None"/>
          <w:rFonts w:ascii="Times New Roman" w:hAnsi="Times New Roman" w:cs="Times New Roman"/>
          <w:i/>
          <w:iCs/>
          <w:sz w:val="24"/>
          <w:szCs w:val="24"/>
        </w:rPr>
        <w:tab/>
        <w:t>Teacher</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60</w:t>
      </w:r>
      <w:r w:rsidRPr="001A25AC">
        <w:rPr>
          <w:rStyle w:val="None"/>
          <w:rFonts w:ascii="Times New Roman" w:hAnsi="Times New Roman" w:cs="Times New Roman"/>
          <w:sz w:val="24"/>
          <w:szCs w:val="24"/>
        </w:rPr>
        <w:t xml:space="preserve">(7), 616–617. </w:t>
      </w:r>
      <w:hyperlink r:id="rId18" w:history="1">
        <w:r w:rsidRPr="00470550">
          <w:rPr>
            <w:rStyle w:val="Hyperlink2"/>
            <w:rFonts w:eastAsia="Arial Unicode MS"/>
          </w:rPr>
          <w:t>https://doi.org/10.1119/10.0014308</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Houghton Mifflin Harcourt. (2020). </w:t>
      </w:r>
      <w:r w:rsidRPr="00470550">
        <w:rPr>
          <w:rStyle w:val="None"/>
          <w:rFonts w:ascii="Times New Roman" w:hAnsi="Times New Roman" w:cs="Times New Roman"/>
          <w:i/>
          <w:iCs/>
          <w:sz w:val="24"/>
          <w:szCs w:val="24"/>
        </w:rPr>
        <w:t>Math in focus Grade 5 book B</w:t>
      </w:r>
      <w:r w:rsidRPr="001A25AC">
        <w:rPr>
          <w:rStyle w:val="None"/>
          <w:rFonts w:ascii="Times New Roman" w:hAnsi="Times New Roman" w:cs="Times New Roman"/>
          <w:sz w:val="24"/>
          <w:szCs w:val="24"/>
        </w:rPr>
        <w:t>.</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Howe, R. (2018). Learning and using our base ten place value number system: theoretical </w:t>
      </w:r>
      <w:r w:rsidRPr="00470550">
        <w:rPr>
          <w:rStyle w:val="None"/>
          <w:rFonts w:ascii="Times New Roman" w:hAnsi="Times New Roman" w:cs="Times New Roman"/>
          <w:sz w:val="24"/>
          <w:szCs w:val="24"/>
        </w:rPr>
        <w:tab/>
        <w:t xml:space="preserve">perspectives and twenty-first century uses. </w:t>
      </w:r>
      <w:r w:rsidRPr="00470550">
        <w:rPr>
          <w:rStyle w:val="None"/>
          <w:rFonts w:ascii="Times New Roman" w:hAnsi="Times New Roman" w:cs="Times New Roman"/>
          <w:i/>
          <w:iCs/>
          <w:sz w:val="24"/>
          <w:szCs w:val="24"/>
          <w:lang w:val="de-DE"/>
        </w:rPr>
        <w:t>ZDM</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51</w:t>
      </w:r>
      <w:r w:rsidRPr="001A25AC">
        <w:rPr>
          <w:rStyle w:val="None"/>
          <w:rFonts w:ascii="Times New Roman" w:hAnsi="Times New Roman" w:cs="Times New Roman"/>
          <w:sz w:val="24"/>
          <w:szCs w:val="24"/>
        </w:rPr>
        <w:t xml:space="preserve">(1), 57–68. </w:t>
      </w:r>
      <w:r w:rsidRPr="001A25AC">
        <w:rPr>
          <w:rStyle w:val="None"/>
          <w:rFonts w:ascii="Times New Roman" w:hAnsi="Times New Roman" w:cs="Times New Roman"/>
          <w:sz w:val="24"/>
          <w:szCs w:val="24"/>
        </w:rPr>
        <w:tab/>
      </w:r>
      <w:hyperlink r:id="rId19" w:history="1">
        <w:r w:rsidRPr="00470550">
          <w:rPr>
            <w:rStyle w:val="Hyperlink2"/>
            <w:rFonts w:eastAsia="Arial Unicode MS"/>
          </w:rPr>
          <w:t>https://doi.org/10.1007/s11858-018-0996-3</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Howe, R. (2020). Knowing and teaching elementary mathematics—how are we doing? </w:t>
      </w:r>
      <w:r w:rsidRPr="00470550">
        <w:rPr>
          <w:rStyle w:val="None"/>
          <w:rFonts w:ascii="Times New Roman" w:hAnsi="Times New Roman" w:cs="Times New Roman"/>
          <w:i/>
          <w:iCs/>
          <w:sz w:val="24"/>
          <w:szCs w:val="24"/>
        </w:rPr>
        <w:t xml:space="preserve">Notices </w:t>
      </w:r>
      <w:r w:rsidRPr="00470550">
        <w:rPr>
          <w:rStyle w:val="None"/>
          <w:rFonts w:ascii="Times New Roman" w:hAnsi="Times New Roman" w:cs="Times New Roman"/>
          <w:i/>
          <w:iCs/>
          <w:sz w:val="24"/>
          <w:szCs w:val="24"/>
        </w:rPr>
        <w:tab/>
        <w:t>of the American Mathematical Society</w:t>
      </w:r>
      <w:r w:rsidRPr="00470550">
        <w:rPr>
          <w:rStyle w:val="None"/>
          <w:rFonts w:ascii="Times New Roman" w:hAnsi="Times New Roman" w:cs="Times New Roman"/>
          <w:sz w:val="24"/>
          <w:szCs w:val="24"/>
        </w:rPr>
        <w:t xml:space="preserve">, </w:t>
      </w:r>
      <w:r w:rsidRPr="00470550">
        <w:rPr>
          <w:rStyle w:val="None"/>
          <w:rFonts w:ascii="Times New Roman" w:hAnsi="Times New Roman" w:cs="Times New Roman"/>
          <w:i/>
          <w:iCs/>
          <w:sz w:val="24"/>
          <w:szCs w:val="24"/>
        </w:rPr>
        <w:t>67</w:t>
      </w:r>
      <w:r w:rsidRPr="001A25AC">
        <w:rPr>
          <w:rStyle w:val="None"/>
          <w:rFonts w:ascii="Times New Roman" w:hAnsi="Times New Roman" w:cs="Times New Roman"/>
          <w:sz w:val="24"/>
          <w:szCs w:val="24"/>
        </w:rPr>
        <w:t xml:space="preserve">(6), 842–845. </w:t>
      </w:r>
      <w:hyperlink r:id="rId20" w:history="1">
        <w:r w:rsidRPr="00470550">
          <w:rPr>
            <w:rStyle w:val="Hyperlink2"/>
            <w:rFonts w:eastAsia="Arial Unicode MS"/>
          </w:rPr>
          <w:t>https://doi.org/10.1090/noti2102</w:t>
        </w:r>
      </w:hyperlink>
    </w:p>
    <w:p w:rsidR="00470550" w:rsidRDefault="00470550">
      <w:pPr>
        <w:pStyle w:val="Body"/>
        <w:spacing w:line="480" w:lineRule="auto"/>
        <w:rPr>
          <w:rStyle w:val="None"/>
          <w:rFonts w:ascii="Times New Roman" w:hAnsi="Times New Roman" w:cs="Times New Roman"/>
          <w:i/>
          <w:sz w:val="24"/>
          <w:szCs w:val="24"/>
        </w:rPr>
      </w:pPr>
      <w:r w:rsidRPr="001A25AC">
        <w:rPr>
          <w:rStyle w:val="None"/>
          <w:rFonts w:ascii="Times New Roman" w:hAnsi="Times New Roman" w:cs="Times New Roman"/>
          <w:sz w:val="24"/>
          <w:szCs w:val="24"/>
        </w:rPr>
        <w:t xml:space="preserve">Howe, R., &amp; Epp, S. S. (2008). Taking </w:t>
      </w:r>
      <w:r>
        <w:rPr>
          <w:rStyle w:val="None"/>
          <w:rFonts w:ascii="Times New Roman" w:hAnsi="Times New Roman" w:cs="Times New Roman"/>
          <w:sz w:val="24"/>
          <w:szCs w:val="24"/>
        </w:rPr>
        <w:t>p</w:t>
      </w:r>
      <w:r w:rsidRPr="001A25AC">
        <w:rPr>
          <w:rStyle w:val="None"/>
          <w:rFonts w:ascii="Times New Roman" w:hAnsi="Times New Roman" w:cs="Times New Roman"/>
          <w:sz w:val="24"/>
          <w:szCs w:val="24"/>
        </w:rPr>
        <w:t xml:space="preserve">lace </w:t>
      </w:r>
      <w:r>
        <w:rPr>
          <w:rStyle w:val="None"/>
          <w:rFonts w:ascii="Times New Roman" w:hAnsi="Times New Roman" w:cs="Times New Roman"/>
          <w:sz w:val="24"/>
          <w:szCs w:val="24"/>
        </w:rPr>
        <w:t>v</w:t>
      </w:r>
      <w:r w:rsidRPr="001A25AC">
        <w:rPr>
          <w:rStyle w:val="None"/>
          <w:rFonts w:ascii="Times New Roman" w:hAnsi="Times New Roman" w:cs="Times New Roman"/>
          <w:sz w:val="24"/>
          <w:szCs w:val="24"/>
        </w:rPr>
        <w:t xml:space="preserve">alue </w:t>
      </w:r>
      <w:r>
        <w:rPr>
          <w:rStyle w:val="None"/>
          <w:rFonts w:ascii="Times New Roman" w:hAnsi="Times New Roman" w:cs="Times New Roman"/>
          <w:sz w:val="24"/>
          <w:szCs w:val="24"/>
        </w:rPr>
        <w:t>s</w:t>
      </w:r>
      <w:r w:rsidRPr="001A25AC">
        <w:rPr>
          <w:rStyle w:val="None"/>
          <w:rFonts w:ascii="Times New Roman" w:hAnsi="Times New Roman" w:cs="Times New Roman"/>
          <w:sz w:val="24"/>
          <w:szCs w:val="24"/>
        </w:rPr>
        <w:t xml:space="preserve">eriously: Arithmetic, </w:t>
      </w:r>
      <w:r>
        <w:rPr>
          <w:rStyle w:val="None"/>
          <w:rFonts w:ascii="Times New Roman" w:hAnsi="Times New Roman" w:cs="Times New Roman"/>
          <w:sz w:val="24"/>
          <w:szCs w:val="24"/>
        </w:rPr>
        <w:t>e</w:t>
      </w:r>
      <w:r w:rsidRPr="001A25AC">
        <w:rPr>
          <w:rStyle w:val="None"/>
          <w:rFonts w:ascii="Times New Roman" w:hAnsi="Times New Roman" w:cs="Times New Roman"/>
          <w:sz w:val="24"/>
          <w:szCs w:val="24"/>
        </w:rPr>
        <w:t xml:space="preserve">stimation, and </w:t>
      </w:r>
      <w:r w:rsidRPr="001A25AC">
        <w:rPr>
          <w:rStyle w:val="None"/>
          <w:rFonts w:ascii="Times New Roman" w:hAnsi="Times New Roman" w:cs="Times New Roman"/>
          <w:sz w:val="24"/>
          <w:szCs w:val="24"/>
        </w:rPr>
        <w:tab/>
      </w:r>
      <w:r>
        <w:rPr>
          <w:rStyle w:val="None"/>
          <w:rFonts w:ascii="Times New Roman" w:hAnsi="Times New Roman" w:cs="Times New Roman"/>
          <w:sz w:val="24"/>
          <w:szCs w:val="24"/>
        </w:rPr>
        <w:t>a</w:t>
      </w:r>
      <w:r w:rsidRPr="001A25AC">
        <w:rPr>
          <w:rStyle w:val="None"/>
          <w:rFonts w:ascii="Times New Roman" w:hAnsi="Times New Roman" w:cs="Times New Roman"/>
          <w:sz w:val="24"/>
          <w:szCs w:val="24"/>
        </w:rPr>
        <w:t xml:space="preserve">lgebra. </w:t>
      </w:r>
      <w:r w:rsidRPr="00470550">
        <w:rPr>
          <w:rStyle w:val="None"/>
          <w:rFonts w:ascii="Times New Roman" w:hAnsi="Times New Roman" w:cs="Times New Roman"/>
          <w:i/>
          <w:sz w:val="24"/>
          <w:szCs w:val="24"/>
        </w:rPr>
        <w:t>Resources for RMET (Preparing Mathematicians to Educate Teachers).</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Irwin, K. C. (2001). Using everyday knowledge of decimals to enhance understanding. </w:t>
      </w:r>
      <w:r w:rsidRPr="00470550">
        <w:rPr>
          <w:rStyle w:val="None"/>
          <w:rFonts w:ascii="Times New Roman" w:hAnsi="Times New Roman" w:cs="Times New Roman"/>
          <w:i/>
          <w:iCs/>
          <w:sz w:val="24"/>
          <w:szCs w:val="24"/>
        </w:rPr>
        <w:t xml:space="preserve">Journal </w:t>
      </w:r>
      <w:r w:rsidRPr="00470550">
        <w:rPr>
          <w:rStyle w:val="None"/>
          <w:rFonts w:ascii="Times New Roman" w:hAnsi="Times New Roman" w:cs="Times New Roman"/>
          <w:i/>
          <w:iCs/>
          <w:sz w:val="24"/>
          <w:szCs w:val="24"/>
        </w:rPr>
        <w:tab/>
        <w:t>for Research in Mathematics Education</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32</w:t>
      </w:r>
      <w:r w:rsidRPr="001A25AC">
        <w:rPr>
          <w:rStyle w:val="None"/>
          <w:rFonts w:ascii="Times New Roman" w:hAnsi="Times New Roman" w:cs="Times New Roman"/>
          <w:sz w:val="24"/>
          <w:szCs w:val="24"/>
        </w:rPr>
        <w:t xml:space="preserve">(4), 399–420. </w:t>
      </w:r>
      <w:hyperlink r:id="rId21" w:history="1">
        <w:r w:rsidRPr="00470550">
          <w:rPr>
            <w:rStyle w:val="Hyperlink2"/>
            <w:rFonts w:eastAsia="Arial Unicode MS"/>
          </w:rPr>
          <w:t>https://doi.org/10.2307/749701</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1A25AC">
        <w:rPr>
          <w:rStyle w:val="None"/>
          <w:rFonts w:ascii="Times New Roman" w:hAnsi="Times New Roman"/>
          <w:sz w:val="24"/>
          <w:szCs w:val="24"/>
        </w:rPr>
        <w:lastRenderedPageBreak/>
        <w:t xml:space="preserve">Kang, H., Barton, A. C., Tan, E., Simpkins, S. D., Rhee, H., &amp; Turner, C. (2018). How do </w:t>
      </w:r>
      <w:r w:rsidRPr="001A25AC">
        <w:rPr>
          <w:rStyle w:val="None"/>
          <w:rFonts w:ascii="Times New Roman" w:hAnsi="Times New Roman"/>
          <w:sz w:val="24"/>
          <w:szCs w:val="24"/>
        </w:rPr>
        <w:tab/>
        <w:t>middle school girls of color develop STEM identities? Middle school girls</w:t>
      </w:r>
      <w:r w:rsidR="00F53672">
        <w:rPr>
          <w:rStyle w:val="None"/>
          <w:rFonts w:ascii="Times New Roman" w:hAnsi="Times New Roman" w:cs="Times New Roman"/>
          <w:sz w:val="24"/>
          <w:szCs w:val="24"/>
        </w:rPr>
        <w:t>’</w:t>
      </w:r>
      <w:r w:rsidRPr="001A25AC">
        <w:rPr>
          <w:rStyle w:val="None"/>
          <w:rFonts w:ascii="Times New Roman" w:hAnsi="Times New Roman"/>
          <w:sz w:val="24"/>
          <w:szCs w:val="24"/>
        </w:rPr>
        <w:t xml:space="preserve"> participation </w:t>
      </w:r>
      <w:r w:rsidRPr="001A25AC">
        <w:rPr>
          <w:rStyle w:val="None"/>
          <w:rFonts w:ascii="Times New Roman" w:hAnsi="Times New Roman"/>
          <w:sz w:val="24"/>
          <w:szCs w:val="24"/>
        </w:rPr>
        <w:tab/>
        <w:t xml:space="preserve">in science activities and identification with STEM careers. </w:t>
      </w:r>
      <w:r w:rsidRPr="001A25AC">
        <w:rPr>
          <w:rStyle w:val="None"/>
          <w:rFonts w:ascii="Times New Roman" w:hAnsi="Times New Roman" w:cs="Times New Roman"/>
          <w:i/>
          <w:iCs/>
          <w:sz w:val="24"/>
          <w:szCs w:val="24"/>
        </w:rPr>
        <w:t>Science Education</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103</w:t>
      </w:r>
      <w:r w:rsidRPr="001A25AC">
        <w:rPr>
          <w:rStyle w:val="None"/>
          <w:rFonts w:ascii="Times New Roman" w:hAnsi="Times New Roman" w:cs="Times New Roman"/>
          <w:sz w:val="24"/>
          <w:szCs w:val="24"/>
        </w:rPr>
        <w:t xml:space="preserve">(2), </w:t>
      </w:r>
      <w:r w:rsidRPr="001A25AC">
        <w:rPr>
          <w:rStyle w:val="None"/>
          <w:rFonts w:ascii="Times New Roman" w:hAnsi="Times New Roman" w:cs="Times New Roman"/>
          <w:sz w:val="24"/>
          <w:szCs w:val="24"/>
        </w:rPr>
        <w:tab/>
        <w:t>418–439.</w:t>
      </w:r>
      <w:r w:rsidRPr="001A25AC">
        <w:rPr>
          <w:rStyle w:val="None"/>
          <w:rFonts w:cs="Times New Roman"/>
          <w:sz w:val="24"/>
          <w:szCs w:val="24"/>
        </w:rPr>
        <w:t xml:space="preserve"> </w:t>
      </w:r>
      <w:hyperlink r:id="rId22" w:history="1">
        <w:r w:rsidRPr="00470550">
          <w:rPr>
            <w:rStyle w:val="Hyperlink2"/>
            <w:rFonts w:eastAsia="Arial Unicode MS"/>
          </w:rPr>
          <w:t>https://doi.org/10.1002/sce.21492</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Knee, J. A. (2016). </w:t>
      </w:r>
      <w:r w:rsidRPr="00470550">
        <w:rPr>
          <w:rStyle w:val="None"/>
          <w:rFonts w:ascii="Times New Roman" w:hAnsi="Times New Roman" w:cs="Times New Roman"/>
          <w:i/>
          <w:iCs/>
          <w:sz w:val="24"/>
          <w:szCs w:val="24"/>
        </w:rPr>
        <w:t xml:space="preserve">Class Clowns: How the smartest investors lost billions in </w:t>
      </w:r>
      <w:r w:rsidRPr="001A25AC">
        <w:rPr>
          <w:rStyle w:val="None"/>
          <w:rFonts w:ascii="Times New Roman" w:hAnsi="Times New Roman" w:cs="Times New Roman"/>
          <w:i/>
          <w:iCs/>
          <w:sz w:val="24"/>
          <w:szCs w:val="24"/>
        </w:rPr>
        <w:t>education</w:t>
      </w:r>
      <w:r w:rsidRPr="001A25AC">
        <w:rPr>
          <w:rStyle w:val="None"/>
          <w:rFonts w:ascii="Times New Roman" w:hAnsi="Times New Roman" w:cs="Times New Roman"/>
          <w:sz w:val="24"/>
          <w:szCs w:val="24"/>
          <w:lang w:val="it-IT"/>
        </w:rPr>
        <w:t xml:space="preserve">. </w:t>
      </w:r>
      <w:r w:rsidRPr="001A25AC">
        <w:rPr>
          <w:rStyle w:val="None"/>
          <w:rFonts w:ascii="Times New Roman" w:hAnsi="Times New Roman" w:cs="Times New Roman"/>
          <w:sz w:val="24"/>
          <w:szCs w:val="24"/>
          <w:lang w:val="it-IT"/>
        </w:rPr>
        <w:tab/>
        <w:t>Columbia University Press.</w:t>
      </w:r>
    </w:p>
    <w:p w:rsidR="00556DEB" w:rsidRPr="00470550" w:rsidRDefault="000F31CF">
      <w:pPr>
        <w:pStyle w:val="Body"/>
        <w:spacing w:line="480" w:lineRule="auto"/>
        <w:rPr>
          <w:rStyle w:val="Hyperlink2"/>
          <w:rFonts w:eastAsia="Arial Unicode MS"/>
        </w:rPr>
      </w:pPr>
      <w:r w:rsidRPr="00470550">
        <w:rPr>
          <w:rStyle w:val="None"/>
          <w:rFonts w:ascii="Times New Roman" w:hAnsi="Times New Roman" w:cs="Times New Roman"/>
          <w:sz w:val="24"/>
          <w:szCs w:val="24"/>
          <w:lang w:val="nl-NL"/>
        </w:rPr>
        <w:t xml:space="preserve">Langer-Osuna, J., Munson, J., Gargroetzi, E., Williams, I., &amp; Chavez, R. (2020). </w:t>
      </w:r>
      <w:r w:rsidRPr="00470550">
        <w:rPr>
          <w:rStyle w:val="None"/>
          <w:rFonts w:ascii="Times New Roman" w:hAnsi="Times New Roman" w:cs="Times New Roman"/>
          <w:sz w:val="24"/>
          <w:szCs w:val="24"/>
        </w:rPr>
        <w:t xml:space="preserve">“So what are </w:t>
      </w:r>
      <w:r w:rsidRPr="00470550">
        <w:rPr>
          <w:rStyle w:val="None"/>
          <w:rFonts w:ascii="Times New Roman" w:hAnsi="Times New Roman" w:cs="Times New Roman"/>
          <w:sz w:val="24"/>
          <w:szCs w:val="24"/>
        </w:rPr>
        <w:tab/>
      </w:r>
      <w:r w:rsidRPr="001A25AC">
        <w:rPr>
          <w:rStyle w:val="None"/>
          <w:rFonts w:ascii="Times New Roman" w:hAnsi="Times New Roman" w:cs="Times New Roman"/>
          <w:sz w:val="24"/>
          <w:szCs w:val="24"/>
        </w:rPr>
        <w:t xml:space="preserve">we working on?”: how student authority relations shift during collaborative mathematics </w:t>
      </w:r>
      <w:r w:rsidRPr="001A25AC">
        <w:rPr>
          <w:rStyle w:val="None"/>
          <w:rFonts w:ascii="Times New Roman" w:hAnsi="Times New Roman" w:cs="Times New Roman"/>
          <w:sz w:val="24"/>
          <w:szCs w:val="24"/>
        </w:rPr>
        <w:tab/>
        <w:t xml:space="preserve">activity. </w:t>
      </w:r>
      <w:r w:rsidRPr="001A25AC">
        <w:rPr>
          <w:rStyle w:val="None"/>
          <w:rFonts w:ascii="Times New Roman" w:hAnsi="Times New Roman" w:cs="Times New Roman"/>
          <w:i/>
          <w:iCs/>
          <w:sz w:val="24"/>
          <w:szCs w:val="24"/>
        </w:rPr>
        <w:t>Educational Studies in Mathematics</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104</w:t>
      </w:r>
      <w:r w:rsidRPr="001A25AC">
        <w:rPr>
          <w:rStyle w:val="None"/>
          <w:rFonts w:ascii="Times New Roman" w:hAnsi="Times New Roman" w:cs="Times New Roman"/>
          <w:sz w:val="24"/>
          <w:szCs w:val="24"/>
        </w:rPr>
        <w:t xml:space="preserve">(3), 333–349. </w:t>
      </w:r>
      <w:r w:rsidRPr="001A25AC">
        <w:rPr>
          <w:rStyle w:val="None"/>
          <w:rFonts w:ascii="Times New Roman" w:hAnsi="Times New Roman" w:cs="Times New Roman"/>
          <w:sz w:val="24"/>
          <w:szCs w:val="24"/>
        </w:rPr>
        <w:tab/>
      </w:r>
      <w:hyperlink r:id="rId23" w:history="1">
        <w:r w:rsidRPr="00470550">
          <w:rPr>
            <w:rStyle w:val="Hyperlink2"/>
            <w:rFonts w:eastAsia="Arial Unicode MS"/>
          </w:rPr>
          <w:t>https://doi.org/10.1007/s10649-020-09962-3</w:t>
        </w:r>
      </w:hyperlink>
    </w:p>
    <w:p w:rsidR="004421BB" w:rsidRPr="001A25AC" w:rsidRDefault="004421BB">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eastAsia="Times New Roman" w:hAnsi="Times New Roman" w:cs="Times New Roman"/>
          <w:sz w:val="24"/>
          <w:szCs w:val="24"/>
        </w:rPr>
        <w:t xml:space="preserve">Liston, C., &amp; Getz, A. (2019). </w:t>
      </w:r>
      <w:r w:rsidRPr="00470550">
        <w:rPr>
          <w:rStyle w:val="None"/>
          <w:rFonts w:ascii="Times New Roman" w:eastAsia="Times New Roman" w:hAnsi="Times New Roman" w:cs="Times New Roman"/>
          <w:i/>
          <w:sz w:val="24"/>
          <w:szCs w:val="24"/>
        </w:rPr>
        <w:t>The case for mathematics pathways.</w:t>
      </w:r>
      <w:r w:rsidRPr="00470550">
        <w:rPr>
          <w:rStyle w:val="None"/>
          <w:rFonts w:ascii="Times New Roman" w:eastAsia="Times New Roman" w:hAnsi="Times New Roman" w:cs="Times New Roman"/>
          <w:sz w:val="24"/>
          <w:szCs w:val="24"/>
        </w:rPr>
        <w:t xml:space="preserve"> Dana Center Mathematics </w:t>
      </w:r>
      <w:r w:rsidRPr="00470550">
        <w:rPr>
          <w:rStyle w:val="None"/>
          <w:rFonts w:ascii="Times New Roman" w:eastAsia="Times New Roman" w:hAnsi="Times New Roman" w:cs="Times New Roman"/>
          <w:sz w:val="24"/>
          <w:szCs w:val="24"/>
        </w:rPr>
        <w:tab/>
        <w:t xml:space="preserve">Pathways. </w:t>
      </w:r>
      <w:hyperlink r:id="rId24" w:history="1">
        <w:r w:rsidRPr="00470550">
          <w:rPr>
            <w:rStyle w:val="Hyperlink"/>
            <w:rFonts w:ascii="Times New Roman" w:eastAsia="Times New Roman" w:hAnsi="Times New Roman" w:cs="Times New Roman"/>
            <w:sz w:val="24"/>
            <w:szCs w:val="24"/>
          </w:rPr>
          <w:t>https://dcmathpathways.org/sites/default/files/resources/2019-</w:t>
        </w:r>
        <w:r w:rsidRPr="00470550">
          <w:rPr>
            <w:rStyle w:val="Hyperlink"/>
            <w:rFonts w:ascii="Times New Roman" w:eastAsia="Times New Roman" w:hAnsi="Times New Roman" w:cs="Times New Roman"/>
            <w:sz w:val="24"/>
            <w:szCs w:val="24"/>
            <w:u w:val="none"/>
          </w:rPr>
          <w:tab/>
        </w:r>
        <w:r w:rsidRPr="00470550">
          <w:rPr>
            <w:rStyle w:val="Hyperlink"/>
            <w:rFonts w:ascii="Times New Roman" w:eastAsia="Times New Roman" w:hAnsi="Times New Roman" w:cs="Times New Roman"/>
            <w:sz w:val="24"/>
            <w:szCs w:val="24"/>
          </w:rPr>
          <w:t>03/CaseforMathPathways_20190313.pdf</w:t>
        </w:r>
      </w:hyperlink>
      <w:r w:rsidRPr="00470550">
        <w:rPr>
          <w:rStyle w:val="None"/>
          <w:rFonts w:ascii="Times New Roman" w:eastAsia="Times New Roman" w:hAnsi="Times New Roman" w:cs="Times New Roman"/>
          <w:sz w:val="24"/>
          <w:szCs w:val="24"/>
        </w:rPr>
        <w:t xml:space="preserve">  </w:t>
      </w:r>
    </w:p>
    <w:p w:rsidR="00556DEB" w:rsidRPr="001A25AC" w:rsidRDefault="000F31CF">
      <w:pPr>
        <w:pStyle w:val="Body"/>
        <w:spacing w:line="480" w:lineRule="auto"/>
        <w:rPr>
          <w:rStyle w:val="None"/>
          <w:rFonts w:ascii="Times New Roman" w:eastAsia="Times New Roman" w:hAnsi="Times New Roman" w:cs="Times New Roman"/>
          <w:sz w:val="24"/>
          <w:szCs w:val="24"/>
        </w:rPr>
      </w:pPr>
      <w:proofErr w:type="spellStart"/>
      <w:r w:rsidRPr="00470550">
        <w:rPr>
          <w:rStyle w:val="None"/>
          <w:rFonts w:ascii="Times New Roman" w:hAnsi="Times New Roman" w:cs="Times New Roman"/>
          <w:sz w:val="24"/>
          <w:szCs w:val="24"/>
          <w:lang w:val="fr-FR"/>
        </w:rPr>
        <w:t>Lortie</w:t>
      </w:r>
      <w:proofErr w:type="spellEnd"/>
      <w:r w:rsidRPr="001A25AC">
        <w:rPr>
          <w:rStyle w:val="None"/>
          <w:rFonts w:ascii="Times New Roman" w:hAnsi="Times New Roman" w:cs="Times New Roman"/>
          <w:sz w:val="24"/>
          <w:szCs w:val="24"/>
        </w:rPr>
        <w:t>‐</w:t>
      </w:r>
      <w:proofErr w:type="spellStart"/>
      <w:r w:rsidRPr="001A25AC">
        <w:rPr>
          <w:rStyle w:val="None"/>
          <w:rFonts w:ascii="Times New Roman" w:hAnsi="Times New Roman" w:cs="Times New Roman"/>
          <w:sz w:val="24"/>
          <w:szCs w:val="24"/>
        </w:rPr>
        <w:t>Forgues</w:t>
      </w:r>
      <w:proofErr w:type="spellEnd"/>
      <w:r w:rsidRPr="001A25AC">
        <w:rPr>
          <w:rStyle w:val="None"/>
          <w:rFonts w:ascii="Times New Roman" w:hAnsi="Times New Roman" w:cs="Times New Roman"/>
          <w:sz w:val="24"/>
          <w:szCs w:val="24"/>
        </w:rPr>
        <w:t xml:space="preserve">, H., &amp; Siegler, R. S. (2017). Conceptual knowledge of decimal arithmetic. </w:t>
      </w:r>
      <w:r w:rsidRPr="001A25AC">
        <w:rPr>
          <w:rStyle w:val="None"/>
          <w:rFonts w:ascii="Times New Roman" w:hAnsi="Times New Roman" w:cs="Times New Roman"/>
          <w:sz w:val="24"/>
          <w:szCs w:val="24"/>
        </w:rPr>
        <w:tab/>
      </w:r>
      <w:r w:rsidRPr="001A25AC">
        <w:rPr>
          <w:rStyle w:val="None"/>
          <w:rFonts w:ascii="Times New Roman" w:hAnsi="Times New Roman" w:cs="Times New Roman"/>
          <w:i/>
          <w:iCs/>
          <w:sz w:val="24"/>
          <w:szCs w:val="24"/>
        </w:rPr>
        <w:t>Journal of Educational Psychology</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109</w:t>
      </w:r>
      <w:r w:rsidRPr="001A25AC">
        <w:rPr>
          <w:rStyle w:val="None"/>
          <w:rFonts w:ascii="Times New Roman" w:hAnsi="Times New Roman" w:cs="Times New Roman"/>
          <w:sz w:val="24"/>
          <w:szCs w:val="24"/>
        </w:rPr>
        <w:t xml:space="preserve">(3), 374–386. </w:t>
      </w:r>
      <w:r w:rsidRPr="001A25AC">
        <w:rPr>
          <w:rStyle w:val="None"/>
          <w:rFonts w:ascii="Times New Roman" w:hAnsi="Times New Roman" w:cs="Times New Roman"/>
          <w:sz w:val="24"/>
          <w:szCs w:val="24"/>
        </w:rPr>
        <w:tab/>
      </w:r>
      <w:hyperlink r:id="rId25" w:history="1">
        <w:r w:rsidRPr="00470550">
          <w:rPr>
            <w:rStyle w:val="Hyperlink2"/>
            <w:rFonts w:eastAsia="Arial Unicode MS"/>
          </w:rPr>
          <w:t>https://doi.org/10.1037/edu0000148</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Ma, L., &amp; Ma, L. (1999). </w:t>
      </w:r>
      <w:r w:rsidRPr="00470550">
        <w:rPr>
          <w:rStyle w:val="None"/>
          <w:rFonts w:ascii="Times New Roman" w:hAnsi="Times New Roman" w:cs="Times New Roman"/>
          <w:i/>
          <w:iCs/>
          <w:sz w:val="24"/>
          <w:szCs w:val="24"/>
        </w:rPr>
        <w:t>Knowing and teaching elementary mathematics</w:t>
      </w:r>
      <w:r w:rsidRPr="00470550">
        <w:rPr>
          <w:rStyle w:val="None"/>
          <w:rFonts w:ascii="Times New Roman" w:hAnsi="Times New Roman" w:cs="Times New Roman"/>
          <w:sz w:val="24"/>
          <w:szCs w:val="24"/>
        </w:rPr>
        <w:t xml:space="preserve"> (1st ed.). Routledge. </w:t>
      </w:r>
      <w:r w:rsidRPr="00470550">
        <w:rPr>
          <w:rStyle w:val="None"/>
          <w:rFonts w:ascii="Times New Roman" w:hAnsi="Times New Roman" w:cs="Times New Roman"/>
          <w:sz w:val="24"/>
          <w:szCs w:val="24"/>
        </w:rPr>
        <w:tab/>
      </w:r>
      <w:hyperlink r:id="rId26" w:history="1">
        <w:r w:rsidRPr="00470550">
          <w:rPr>
            <w:rStyle w:val="Hyperlink2"/>
            <w:rFonts w:eastAsia="Arial Unicode MS"/>
          </w:rPr>
          <w:t>https://doi.org/10.4324/9781410602589</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McMullen, J., </w:t>
      </w:r>
      <w:proofErr w:type="spellStart"/>
      <w:r w:rsidRPr="00470550">
        <w:rPr>
          <w:rStyle w:val="None"/>
          <w:rFonts w:ascii="Times New Roman" w:hAnsi="Times New Roman" w:cs="Times New Roman"/>
          <w:sz w:val="24"/>
          <w:szCs w:val="24"/>
        </w:rPr>
        <w:t>Hannula-Sormunen</w:t>
      </w:r>
      <w:proofErr w:type="spellEnd"/>
      <w:r w:rsidRPr="00470550">
        <w:rPr>
          <w:rStyle w:val="None"/>
          <w:rFonts w:ascii="Times New Roman" w:hAnsi="Times New Roman" w:cs="Times New Roman"/>
          <w:sz w:val="24"/>
          <w:szCs w:val="24"/>
        </w:rPr>
        <w:t xml:space="preserve">, M. M., </w:t>
      </w:r>
      <w:proofErr w:type="spellStart"/>
      <w:r w:rsidRPr="00470550">
        <w:rPr>
          <w:rStyle w:val="None"/>
          <w:rFonts w:ascii="Times New Roman" w:hAnsi="Times New Roman" w:cs="Times New Roman"/>
          <w:sz w:val="24"/>
          <w:szCs w:val="24"/>
        </w:rPr>
        <w:t>Lehtinen</w:t>
      </w:r>
      <w:proofErr w:type="spellEnd"/>
      <w:r w:rsidRPr="00470550">
        <w:rPr>
          <w:rStyle w:val="None"/>
          <w:rFonts w:ascii="Times New Roman" w:hAnsi="Times New Roman" w:cs="Times New Roman"/>
          <w:sz w:val="24"/>
          <w:szCs w:val="24"/>
        </w:rPr>
        <w:t xml:space="preserve">, E., &amp; Siegler, R. S. (2021). Predicting </w:t>
      </w:r>
      <w:r w:rsidRPr="00470550">
        <w:rPr>
          <w:rStyle w:val="None"/>
          <w:rFonts w:ascii="Times New Roman" w:hAnsi="Times New Roman" w:cs="Times New Roman"/>
          <w:sz w:val="24"/>
          <w:szCs w:val="24"/>
        </w:rPr>
        <w:tab/>
        <w:t>adaptive e</w:t>
      </w:r>
      <w:r w:rsidRPr="001A25AC">
        <w:rPr>
          <w:rStyle w:val="None"/>
          <w:rFonts w:ascii="Times New Roman" w:hAnsi="Times New Roman" w:cs="Times New Roman"/>
          <w:sz w:val="24"/>
          <w:szCs w:val="24"/>
        </w:rPr>
        <w:t xml:space="preserve">xpertise with rational number arithmetic. </w:t>
      </w:r>
      <w:r w:rsidRPr="001A25AC">
        <w:rPr>
          <w:rStyle w:val="None"/>
          <w:rFonts w:ascii="Times New Roman" w:hAnsi="Times New Roman" w:cs="Times New Roman"/>
          <w:i/>
          <w:iCs/>
          <w:sz w:val="24"/>
          <w:szCs w:val="24"/>
        </w:rPr>
        <w:t xml:space="preserve">British Journal of Educational </w:t>
      </w:r>
      <w:r w:rsidRPr="001A25AC">
        <w:rPr>
          <w:rStyle w:val="None"/>
          <w:rFonts w:ascii="Times New Roman" w:hAnsi="Times New Roman" w:cs="Times New Roman"/>
          <w:i/>
          <w:iCs/>
          <w:sz w:val="24"/>
          <w:szCs w:val="24"/>
        </w:rPr>
        <w:tab/>
        <w:t>Psychology</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92</w:t>
      </w:r>
      <w:r w:rsidRPr="001A25AC">
        <w:rPr>
          <w:rStyle w:val="None"/>
          <w:rFonts w:ascii="Times New Roman" w:hAnsi="Times New Roman" w:cs="Times New Roman"/>
          <w:sz w:val="24"/>
          <w:szCs w:val="24"/>
        </w:rPr>
        <w:t xml:space="preserve">(2), 688–706. </w:t>
      </w:r>
      <w:hyperlink r:id="rId27" w:history="1">
        <w:r w:rsidRPr="00470550">
          <w:rPr>
            <w:rStyle w:val="Hyperlink2"/>
            <w:rFonts w:eastAsia="Arial Unicode MS"/>
          </w:rPr>
          <w:t>https://doi.org/10.1111/bjep.12471</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Miller, J. D., &amp; Kimmel, L. G. (2012). Pathways to a STEMM profession. </w:t>
      </w:r>
      <w:r w:rsidRPr="001A25AC">
        <w:rPr>
          <w:rStyle w:val="None"/>
          <w:rFonts w:ascii="Times New Roman" w:hAnsi="Times New Roman" w:cs="Times New Roman"/>
          <w:i/>
          <w:iCs/>
          <w:sz w:val="24"/>
          <w:szCs w:val="24"/>
        </w:rPr>
        <w:t xml:space="preserve">Peabody Journal of </w:t>
      </w:r>
      <w:r w:rsidRPr="001A25AC">
        <w:rPr>
          <w:rStyle w:val="None"/>
          <w:rFonts w:ascii="Times New Roman" w:hAnsi="Times New Roman" w:cs="Times New Roman"/>
          <w:i/>
          <w:iCs/>
          <w:sz w:val="24"/>
          <w:szCs w:val="24"/>
        </w:rPr>
        <w:tab/>
        <w:t>Education</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87</w:t>
      </w:r>
      <w:r w:rsidRPr="001A25AC">
        <w:rPr>
          <w:rStyle w:val="None"/>
          <w:rFonts w:ascii="Times New Roman" w:hAnsi="Times New Roman" w:cs="Times New Roman"/>
          <w:sz w:val="24"/>
          <w:szCs w:val="24"/>
        </w:rPr>
        <w:t xml:space="preserve">(1), 26–45. </w:t>
      </w:r>
      <w:hyperlink r:id="rId28" w:history="1">
        <w:r w:rsidRPr="00470550">
          <w:rPr>
            <w:rStyle w:val="Hyperlink2"/>
            <w:rFonts w:eastAsia="Arial Unicode MS"/>
          </w:rPr>
          <w:t>https://doi.org/10.1080/0161956x.2012.642274</w:t>
        </w:r>
      </w:hyperlink>
    </w:p>
    <w:p w:rsidR="00556DEB" w:rsidRPr="00470550"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lastRenderedPageBreak/>
        <w:t xml:space="preserve">National Assessment of Educational Progress (NAEP). (2022). </w:t>
      </w:r>
      <w:r w:rsidRPr="00470550">
        <w:rPr>
          <w:rStyle w:val="None"/>
          <w:rFonts w:ascii="Times New Roman" w:hAnsi="Times New Roman" w:cs="Times New Roman"/>
          <w:i/>
          <w:iCs/>
          <w:sz w:val="24"/>
          <w:szCs w:val="24"/>
        </w:rPr>
        <w:t xml:space="preserve">NAEP Report Card: </w:t>
      </w:r>
      <w:r w:rsidRPr="00470550">
        <w:rPr>
          <w:rStyle w:val="None"/>
          <w:rFonts w:ascii="Times New Roman" w:hAnsi="Times New Roman" w:cs="Times New Roman"/>
          <w:i/>
          <w:iCs/>
          <w:sz w:val="24"/>
          <w:szCs w:val="24"/>
        </w:rPr>
        <w:tab/>
        <w:t>Mathematics</w:t>
      </w:r>
      <w:r w:rsidRPr="001A25AC">
        <w:rPr>
          <w:rStyle w:val="None"/>
          <w:rFonts w:ascii="Times New Roman" w:hAnsi="Times New Roman" w:cs="Times New Roman"/>
          <w:sz w:val="24"/>
          <w:szCs w:val="24"/>
        </w:rPr>
        <w:t xml:space="preserve">. </w:t>
      </w:r>
      <w:hyperlink r:id="rId29" w:history="1">
        <w:r w:rsidRPr="00470550">
          <w:rPr>
            <w:rStyle w:val="Hyperlink2"/>
            <w:rFonts w:eastAsia="Arial Unicode MS"/>
          </w:rPr>
          <w:t>https://www.nationsreportcard.gov/mathematics/</w:t>
        </w:r>
      </w:hyperlink>
    </w:p>
    <w:p w:rsidR="00181619" w:rsidRPr="00181619" w:rsidRDefault="000F31CF" w:rsidP="00181619">
      <w:pPr>
        <w:pStyle w:val="Body"/>
        <w:spacing w:line="480" w:lineRule="auto"/>
        <w:rPr>
          <w:rStyle w:val="None"/>
          <w:rFonts w:ascii="Times New Roman" w:hAnsi="Times New Roman" w:cs="Times New Roman"/>
          <w:sz w:val="24"/>
          <w:szCs w:val="24"/>
          <w:lang w:val="fr-FR"/>
        </w:rPr>
      </w:pPr>
      <w:r w:rsidRPr="00181619">
        <w:rPr>
          <w:rStyle w:val="None"/>
          <w:rFonts w:ascii="Times New Roman" w:hAnsi="Times New Roman" w:cs="Times New Roman"/>
          <w:sz w:val="24"/>
          <w:szCs w:val="24"/>
        </w:rPr>
        <w:t xml:space="preserve">National Center for Education Statistics. (2019). </w:t>
      </w:r>
      <w:r w:rsidRPr="00181619">
        <w:rPr>
          <w:rStyle w:val="None"/>
          <w:rFonts w:ascii="Times New Roman" w:hAnsi="Times New Roman" w:cs="Times New Roman"/>
          <w:i/>
          <w:iCs/>
          <w:sz w:val="24"/>
          <w:szCs w:val="24"/>
        </w:rPr>
        <w:t xml:space="preserve">Average National Assessment of Educational </w:t>
      </w:r>
      <w:r w:rsidRPr="00181619">
        <w:rPr>
          <w:rStyle w:val="None"/>
          <w:rFonts w:ascii="Times New Roman" w:hAnsi="Times New Roman" w:cs="Times New Roman"/>
          <w:i/>
          <w:iCs/>
          <w:sz w:val="24"/>
          <w:szCs w:val="24"/>
        </w:rPr>
        <w:tab/>
        <w:t xml:space="preserve">Progress (NAEP) mathematics scale score, by sex, race/ethnicity, and grade: Selected </w:t>
      </w:r>
      <w:r w:rsidRPr="00181619">
        <w:rPr>
          <w:rStyle w:val="None"/>
          <w:rFonts w:ascii="Times New Roman" w:hAnsi="Times New Roman" w:cs="Times New Roman"/>
          <w:i/>
          <w:iCs/>
          <w:sz w:val="24"/>
          <w:szCs w:val="24"/>
        </w:rPr>
        <w:tab/>
        <w:t>years, 1990 through 2019</w:t>
      </w:r>
      <w:r w:rsidRPr="00181619">
        <w:rPr>
          <w:rStyle w:val="None"/>
          <w:rFonts w:ascii="Times New Roman" w:hAnsi="Times New Roman" w:cs="Times New Roman"/>
          <w:sz w:val="24"/>
          <w:szCs w:val="24"/>
        </w:rPr>
        <w:t xml:space="preserve"> (Table 222.10). Digest of Education Statistics, 2019. </w:t>
      </w:r>
      <w:r w:rsidRPr="00181619">
        <w:rPr>
          <w:rStyle w:val="None"/>
          <w:rFonts w:ascii="Times New Roman" w:hAnsi="Times New Roman" w:cs="Times New Roman"/>
          <w:sz w:val="24"/>
          <w:szCs w:val="24"/>
        </w:rPr>
        <w:tab/>
      </w:r>
      <w:hyperlink r:id="rId30" w:history="1">
        <w:r w:rsidRPr="00181619">
          <w:rPr>
            <w:rStyle w:val="None"/>
            <w:rFonts w:ascii="Times New Roman" w:hAnsi="Times New Roman" w:cs="Times New Roman"/>
            <w:color w:val="0432FF"/>
            <w:sz w:val="24"/>
            <w:szCs w:val="24"/>
            <w:u w:val="single"/>
            <w:lang w:val="fr-FR"/>
          </w:rPr>
          <w:t>https://nces.ed.gov/programs/digest/d19/tables/dt19_222.10.asp</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Nathan, M. J., &amp; </w:t>
      </w:r>
      <w:proofErr w:type="spellStart"/>
      <w:r w:rsidRPr="00470550">
        <w:rPr>
          <w:rStyle w:val="None"/>
          <w:rFonts w:ascii="Times New Roman" w:hAnsi="Times New Roman" w:cs="Times New Roman"/>
          <w:sz w:val="24"/>
          <w:szCs w:val="24"/>
        </w:rPr>
        <w:t>Walkington</w:t>
      </w:r>
      <w:proofErr w:type="spellEnd"/>
      <w:r w:rsidRPr="00470550">
        <w:rPr>
          <w:rStyle w:val="None"/>
          <w:rFonts w:ascii="Times New Roman" w:hAnsi="Times New Roman" w:cs="Times New Roman"/>
          <w:sz w:val="24"/>
          <w:szCs w:val="24"/>
        </w:rPr>
        <w:t xml:space="preserve">, C. (2017). Grounded and embodied mathematical cognition: </w:t>
      </w:r>
      <w:r w:rsidRPr="00470550">
        <w:rPr>
          <w:rStyle w:val="None"/>
          <w:rFonts w:ascii="Times New Roman" w:hAnsi="Times New Roman" w:cs="Times New Roman"/>
          <w:sz w:val="24"/>
          <w:szCs w:val="24"/>
        </w:rPr>
        <w:tab/>
        <w:t xml:space="preserve">promoting mathematical insight and proof using action and language. </w:t>
      </w:r>
      <w:r w:rsidRPr="001A25AC">
        <w:rPr>
          <w:rStyle w:val="None"/>
          <w:rFonts w:ascii="Times New Roman" w:hAnsi="Times New Roman" w:cs="Times New Roman"/>
          <w:i/>
          <w:sz w:val="24"/>
          <w:szCs w:val="24"/>
        </w:rPr>
        <w:t xml:space="preserve">Cognitive </w:t>
      </w:r>
      <w:r w:rsidRPr="001A25AC">
        <w:rPr>
          <w:rStyle w:val="None"/>
          <w:rFonts w:ascii="Times New Roman" w:hAnsi="Times New Roman" w:cs="Times New Roman"/>
          <w:i/>
          <w:sz w:val="24"/>
          <w:szCs w:val="24"/>
        </w:rPr>
        <w:tab/>
        <w:t>Research: Principles and Implications</w:t>
      </w:r>
      <w:r w:rsidRPr="00470550">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 xml:space="preserve">2, </w:t>
      </w:r>
      <w:r w:rsidRPr="001A25AC">
        <w:rPr>
          <w:rStyle w:val="None"/>
          <w:rFonts w:ascii="Times New Roman" w:hAnsi="Times New Roman" w:cs="Times New Roman"/>
          <w:sz w:val="24"/>
          <w:szCs w:val="24"/>
          <w:lang w:val="fr-FR"/>
        </w:rPr>
        <w:t xml:space="preserve">Article 1. </w:t>
      </w:r>
      <w:hyperlink r:id="rId31" w:history="1">
        <w:r w:rsidRPr="00470550">
          <w:rPr>
            <w:rStyle w:val="Hyperlink2"/>
            <w:rFonts w:eastAsia="Arial Unicode MS"/>
          </w:rPr>
          <w:t>https://doi.org/10.1186/s41235-016-</w:t>
        </w:r>
        <w:r w:rsidRPr="00470550">
          <w:rPr>
            <w:rStyle w:val="Hyperlink0"/>
            <w:rFonts w:ascii="Times New Roman" w:eastAsia="Times New Roman" w:hAnsi="Times New Roman" w:cs="Times New Roman"/>
            <w:sz w:val="24"/>
            <w:szCs w:val="24"/>
            <w:u w:val="none"/>
          </w:rPr>
          <w:tab/>
        </w:r>
        <w:r w:rsidRPr="00470550">
          <w:rPr>
            <w:rStyle w:val="Hyperlink2"/>
            <w:rFonts w:eastAsia="Arial Unicode MS"/>
          </w:rPr>
          <w:t>0040-5</w:t>
        </w:r>
      </w:hyperlink>
      <w:r w:rsidRPr="00470550">
        <w:rPr>
          <w:rStyle w:val="None"/>
          <w:rFonts w:ascii="Times New Roman" w:hAnsi="Times New Roman" w:cs="Times New Roman"/>
          <w:sz w:val="24"/>
          <w:szCs w:val="24"/>
        </w:rPr>
        <w:t xml:space="preserve"> </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O</w:t>
      </w:r>
      <w:r w:rsidR="00F53672">
        <w:rPr>
          <w:rStyle w:val="None"/>
          <w:rFonts w:ascii="Times New Roman" w:hAnsi="Times New Roman" w:cs="Times New Roman"/>
          <w:sz w:val="24"/>
          <w:szCs w:val="24"/>
        </w:rPr>
        <w:t>’</w:t>
      </w:r>
      <w:r w:rsidRPr="00470550">
        <w:rPr>
          <w:rStyle w:val="None"/>
          <w:rFonts w:ascii="Times New Roman" w:hAnsi="Times New Roman" w:cs="Times New Roman"/>
          <w:sz w:val="24"/>
          <w:szCs w:val="24"/>
        </w:rPr>
        <w:t>Connor, J. J., &amp; Robertson, E. F. (2000). Indian numerals</w:t>
      </w:r>
      <w:r w:rsidRPr="00470550">
        <w:rPr>
          <w:rStyle w:val="None"/>
          <w:rFonts w:ascii="Times New Roman" w:hAnsi="Times New Roman" w:cs="Times New Roman"/>
          <w:i/>
          <w:iCs/>
          <w:sz w:val="24"/>
          <w:szCs w:val="24"/>
          <w:lang w:val="it-IT"/>
        </w:rPr>
        <w:t>. MacTutor</w:t>
      </w:r>
      <w:r w:rsidRPr="001A25AC">
        <w:rPr>
          <w:rStyle w:val="None"/>
          <w:rFonts w:ascii="Times New Roman" w:hAnsi="Times New Roman" w:cs="Times New Roman"/>
          <w:sz w:val="24"/>
          <w:szCs w:val="24"/>
        </w:rPr>
        <w:t xml:space="preserve">. </w:t>
      </w:r>
      <w:hyperlink r:id="rId32" w:history="1">
        <w:r w:rsidRPr="00470550">
          <w:rPr>
            <w:rStyle w:val="Hyperlink2"/>
            <w:rFonts w:eastAsia="Arial Unicode MS"/>
          </w:rPr>
          <w:t>https://mathshistory.st-</w:t>
        </w:r>
        <w:r w:rsidRPr="00470550">
          <w:rPr>
            <w:rStyle w:val="Hyperlink0"/>
            <w:rFonts w:ascii="Times New Roman" w:eastAsia="Times New Roman" w:hAnsi="Times New Roman" w:cs="Times New Roman"/>
            <w:sz w:val="24"/>
            <w:szCs w:val="24"/>
            <w:u w:val="none"/>
          </w:rPr>
          <w:tab/>
        </w:r>
        <w:r w:rsidRPr="00470550">
          <w:rPr>
            <w:rStyle w:val="Hyperlink2"/>
            <w:rFonts w:eastAsia="Arial Unicode MS"/>
          </w:rPr>
          <w:t>andrews.ac.uk/</w:t>
        </w:r>
        <w:proofErr w:type="spellStart"/>
        <w:r w:rsidRPr="00470550">
          <w:rPr>
            <w:rStyle w:val="Hyperlink2"/>
            <w:rFonts w:eastAsia="Arial Unicode MS"/>
          </w:rPr>
          <w:t>HistTopics</w:t>
        </w:r>
        <w:proofErr w:type="spellEnd"/>
        <w:r w:rsidRPr="00470550">
          <w:rPr>
            <w:rStyle w:val="Hyperlink2"/>
            <w:rFonts w:eastAsia="Arial Unicode MS"/>
          </w:rPr>
          <w:t>/</w:t>
        </w:r>
        <w:proofErr w:type="spellStart"/>
        <w:r w:rsidRPr="00470550">
          <w:rPr>
            <w:rStyle w:val="Hyperlink2"/>
            <w:rFonts w:eastAsia="Arial Unicode MS"/>
          </w:rPr>
          <w:t>Indian_numerals</w:t>
        </w:r>
        <w:proofErr w:type="spellEnd"/>
        <w:r w:rsidRPr="00470550">
          <w:rPr>
            <w:rStyle w:val="Hyperlink2"/>
            <w:rFonts w:eastAsia="Arial Unicode MS"/>
          </w:rPr>
          <w:t>/</w:t>
        </w:r>
      </w:hyperlink>
      <w:r w:rsidRPr="00470550">
        <w:rPr>
          <w:rStyle w:val="None"/>
          <w:rFonts w:ascii="Times New Roman" w:hAnsi="Times New Roman" w:cs="Times New Roman"/>
          <w:sz w:val="24"/>
          <w:szCs w:val="24"/>
        </w:rPr>
        <w:t xml:space="preserve"> </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Pugh, D. S. (1971). </w:t>
      </w:r>
      <w:r w:rsidRPr="00470550">
        <w:rPr>
          <w:rStyle w:val="None"/>
          <w:rFonts w:ascii="Times New Roman" w:hAnsi="Times New Roman" w:cs="Times New Roman"/>
          <w:i/>
          <w:iCs/>
          <w:sz w:val="24"/>
          <w:szCs w:val="24"/>
        </w:rPr>
        <w:t>Organization theory: Selected Readings</w:t>
      </w:r>
      <w:r w:rsidRPr="001A25AC">
        <w:rPr>
          <w:rStyle w:val="None"/>
          <w:rFonts w:ascii="Times New Roman" w:hAnsi="Times New Roman" w:cs="Times New Roman"/>
          <w:sz w:val="24"/>
          <w:szCs w:val="24"/>
        </w:rPr>
        <w:t>. Penguin (Non-Classics).</w:t>
      </w:r>
    </w:p>
    <w:p w:rsidR="00556DEB" w:rsidRPr="001A25AC" w:rsidRDefault="000F31CF">
      <w:pPr>
        <w:pStyle w:val="Body"/>
        <w:spacing w:line="480" w:lineRule="auto"/>
        <w:rPr>
          <w:rStyle w:val="None"/>
          <w:rFonts w:ascii="Times New Roman" w:eastAsia="Times New Roman" w:hAnsi="Times New Roman" w:cs="Times New Roman"/>
          <w:sz w:val="24"/>
          <w:szCs w:val="24"/>
        </w:rPr>
      </w:pPr>
      <w:proofErr w:type="spellStart"/>
      <w:r w:rsidRPr="00470550">
        <w:rPr>
          <w:rStyle w:val="None"/>
          <w:rFonts w:ascii="Times New Roman" w:hAnsi="Times New Roman" w:cs="Times New Roman"/>
          <w:sz w:val="24"/>
          <w:szCs w:val="24"/>
        </w:rPr>
        <w:t>Selbach</w:t>
      </w:r>
      <w:proofErr w:type="spellEnd"/>
      <w:r w:rsidRPr="00470550">
        <w:rPr>
          <w:rStyle w:val="None"/>
          <w:rFonts w:ascii="Times New Roman" w:hAnsi="Times New Roman" w:cs="Times New Roman"/>
          <w:sz w:val="24"/>
          <w:szCs w:val="24"/>
        </w:rPr>
        <w:t xml:space="preserve">-Allen, M. E. Williams, C. A. and </w:t>
      </w:r>
      <w:proofErr w:type="spellStart"/>
      <w:r w:rsidRPr="00470550">
        <w:rPr>
          <w:rStyle w:val="None"/>
          <w:rFonts w:ascii="Times New Roman" w:hAnsi="Times New Roman" w:cs="Times New Roman"/>
          <w:sz w:val="24"/>
          <w:szCs w:val="24"/>
        </w:rPr>
        <w:t>Boaler</w:t>
      </w:r>
      <w:proofErr w:type="spellEnd"/>
      <w:r w:rsidRPr="00470550">
        <w:rPr>
          <w:rStyle w:val="None"/>
          <w:rFonts w:ascii="Times New Roman" w:hAnsi="Times New Roman" w:cs="Times New Roman"/>
          <w:sz w:val="24"/>
          <w:szCs w:val="24"/>
        </w:rPr>
        <w:t xml:space="preserve">, J. (2020). What would the Nautilus say? </w:t>
      </w:r>
      <w:r w:rsidRPr="00470550">
        <w:rPr>
          <w:rStyle w:val="None"/>
          <w:rFonts w:ascii="Times New Roman" w:hAnsi="Times New Roman" w:cs="Times New Roman"/>
          <w:sz w:val="24"/>
          <w:szCs w:val="24"/>
        </w:rPr>
        <w:tab/>
        <w:t xml:space="preserve">Unleashing creativity in </w:t>
      </w:r>
      <w:proofErr w:type="gramStart"/>
      <w:r w:rsidRPr="00470550">
        <w:rPr>
          <w:rStyle w:val="None"/>
          <w:rFonts w:ascii="Times New Roman" w:hAnsi="Times New Roman" w:cs="Times New Roman"/>
          <w:sz w:val="24"/>
          <w:szCs w:val="24"/>
        </w:rPr>
        <w:t>mathematics!.</w:t>
      </w:r>
      <w:proofErr w:type="gramEnd"/>
      <w:r w:rsidRPr="00470550">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Journal of Humanistic Mathematics</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10</w:t>
      </w:r>
      <w:r w:rsidRPr="001A25AC">
        <w:rPr>
          <w:rStyle w:val="None"/>
          <w:rFonts w:ascii="Times New Roman" w:hAnsi="Times New Roman" w:cs="Times New Roman"/>
          <w:sz w:val="24"/>
          <w:szCs w:val="24"/>
        </w:rPr>
        <w:t xml:space="preserve">(2), </w:t>
      </w:r>
      <w:r w:rsidRPr="00470550">
        <w:rPr>
          <w:rStyle w:val="None"/>
          <w:rFonts w:ascii="Times New Roman" w:eastAsia="Times New Roman" w:hAnsi="Times New Roman" w:cs="Times New Roman"/>
          <w:sz w:val="24"/>
          <w:szCs w:val="24"/>
        </w:rPr>
        <w:br/>
      </w:r>
      <w:r w:rsidRPr="00470550">
        <w:rPr>
          <w:rStyle w:val="None"/>
          <w:rFonts w:ascii="Times New Roman" w:eastAsia="Times New Roman" w:hAnsi="Times New Roman" w:cs="Times New Roman"/>
          <w:sz w:val="24"/>
          <w:szCs w:val="24"/>
        </w:rPr>
        <w:tab/>
      </w:r>
      <w:r w:rsidRPr="00470550">
        <w:rPr>
          <w:rStyle w:val="None"/>
          <w:rFonts w:ascii="Times New Roman" w:hAnsi="Times New Roman" w:cs="Times New Roman"/>
          <w:sz w:val="24"/>
          <w:szCs w:val="24"/>
        </w:rPr>
        <w:t xml:space="preserve">391–414. </w:t>
      </w:r>
      <w:r w:rsidRPr="00470550">
        <w:rPr>
          <w:rStyle w:val="None"/>
          <w:rFonts w:ascii="Times New Roman" w:hAnsi="Times New Roman" w:cs="Times New Roman"/>
          <w:sz w:val="24"/>
          <w:szCs w:val="24"/>
        </w:rPr>
        <w:tab/>
      </w:r>
      <w:hyperlink r:id="rId33" w:history="1">
        <w:r w:rsidRPr="00470550">
          <w:rPr>
            <w:rStyle w:val="Hyperlink1"/>
            <w:rFonts w:eastAsia="Arial Unicode MS"/>
          </w:rPr>
          <w:t>https://scholarship.claremont.edu/cgi/viewcontent.cgi?article=1682&amp;context=jhm</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Simpson, J. A. (2002). </w:t>
      </w:r>
      <w:r w:rsidRPr="00470550">
        <w:rPr>
          <w:rStyle w:val="None"/>
          <w:rFonts w:ascii="Times New Roman" w:hAnsi="Times New Roman" w:cs="Times New Roman"/>
          <w:i/>
          <w:iCs/>
          <w:sz w:val="24"/>
          <w:szCs w:val="24"/>
          <w:lang w:val="de-DE"/>
        </w:rPr>
        <w:t xml:space="preserve">Oxford </w:t>
      </w:r>
      <w:r w:rsidRPr="001A25AC">
        <w:rPr>
          <w:rStyle w:val="None"/>
          <w:rFonts w:ascii="Times New Roman" w:hAnsi="Times New Roman" w:cs="Times New Roman"/>
          <w:i/>
          <w:iCs/>
          <w:sz w:val="24"/>
          <w:szCs w:val="24"/>
          <w:lang w:val="de-DE"/>
        </w:rPr>
        <w:t>English dictionary: Version 3.0</w:t>
      </w:r>
      <w:r w:rsidRPr="001A25AC">
        <w:rPr>
          <w:rStyle w:val="None"/>
          <w:rFonts w:ascii="Times New Roman" w:hAnsi="Times New Roman" w:cs="Times New Roman"/>
          <w:i/>
          <w:iCs/>
          <w:sz w:val="24"/>
          <w:szCs w:val="24"/>
        </w:rPr>
        <w:t> : Upgrade version</w:t>
      </w:r>
      <w:r w:rsidRPr="001A25AC">
        <w:rPr>
          <w:rStyle w:val="None"/>
          <w:rFonts w:ascii="Times New Roman" w:hAnsi="Times New Roman" w:cs="Times New Roman"/>
          <w:sz w:val="24"/>
          <w:szCs w:val="24"/>
        </w:rPr>
        <w:t xml:space="preserve">. Oxford </w:t>
      </w:r>
      <w:r w:rsidRPr="001A25AC">
        <w:rPr>
          <w:rStyle w:val="None"/>
          <w:rFonts w:ascii="Times New Roman" w:hAnsi="Times New Roman" w:cs="Times New Roman"/>
          <w:sz w:val="24"/>
          <w:szCs w:val="24"/>
        </w:rPr>
        <w:tab/>
        <w:t>University Press.</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Smith, D. E., &amp; J. Ginsburg. (1937). </w:t>
      </w:r>
      <w:r w:rsidRPr="00470550">
        <w:rPr>
          <w:rStyle w:val="None"/>
          <w:rFonts w:ascii="Times New Roman" w:hAnsi="Times New Roman" w:cs="Times New Roman"/>
          <w:i/>
          <w:iCs/>
          <w:sz w:val="24"/>
          <w:szCs w:val="24"/>
        </w:rPr>
        <w:t>Numbers and numerals: A story book for young and old</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sz w:val="24"/>
          <w:szCs w:val="24"/>
        </w:rPr>
        <w:tab/>
        <w:t>Bureau of Publications, Teachers</w:t>
      </w:r>
      <w:r w:rsidR="00F53672">
        <w:rPr>
          <w:rStyle w:val="None"/>
          <w:rFonts w:ascii="Times New Roman" w:hAnsi="Times New Roman" w:cs="Times New Roman"/>
          <w:sz w:val="24"/>
          <w:szCs w:val="24"/>
        </w:rPr>
        <w:t>’</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sz w:val="24"/>
          <w:szCs w:val="24"/>
          <w:lang w:val="it-IT"/>
        </w:rPr>
        <w:t>College, Columbia University.</w:t>
      </w:r>
    </w:p>
    <w:p w:rsidR="00556DEB" w:rsidRPr="001A25AC" w:rsidRDefault="000F31CF">
      <w:pPr>
        <w:pStyle w:val="Body"/>
        <w:spacing w:line="480" w:lineRule="auto"/>
        <w:rPr>
          <w:rStyle w:val="None"/>
          <w:rFonts w:ascii="Times New Roman" w:eastAsia="Times New Roman" w:hAnsi="Times New Roman" w:cs="Times New Roman"/>
          <w:sz w:val="24"/>
          <w:szCs w:val="24"/>
        </w:rPr>
      </w:pPr>
      <w:proofErr w:type="spellStart"/>
      <w:r w:rsidRPr="00470550">
        <w:rPr>
          <w:rStyle w:val="None"/>
          <w:rFonts w:ascii="Times New Roman" w:hAnsi="Times New Roman" w:cs="Times New Roman"/>
          <w:sz w:val="24"/>
          <w:szCs w:val="24"/>
        </w:rPr>
        <w:lastRenderedPageBreak/>
        <w:t>Thanheiser</w:t>
      </w:r>
      <w:proofErr w:type="spellEnd"/>
      <w:r w:rsidRPr="00470550">
        <w:rPr>
          <w:rStyle w:val="None"/>
          <w:rFonts w:ascii="Times New Roman" w:hAnsi="Times New Roman" w:cs="Times New Roman"/>
          <w:sz w:val="24"/>
          <w:szCs w:val="24"/>
        </w:rPr>
        <w:t>, E. (2009). Preservice elementary school teachers</w:t>
      </w:r>
      <w:r w:rsidR="00F53672">
        <w:rPr>
          <w:rStyle w:val="None"/>
          <w:rFonts w:ascii="Times New Roman" w:hAnsi="Times New Roman" w:cs="Times New Roman"/>
          <w:sz w:val="24"/>
          <w:szCs w:val="24"/>
        </w:rPr>
        <w:t>’</w:t>
      </w:r>
      <w:r w:rsidRPr="00470550">
        <w:rPr>
          <w:rStyle w:val="None"/>
          <w:rFonts w:ascii="Times New Roman" w:hAnsi="Times New Roman" w:cs="Times New Roman"/>
          <w:sz w:val="24"/>
          <w:szCs w:val="24"/>
        </w:rPr>
        <w:t xml:space="preserve"> conceptions of multi-digit whole </w:t>
      </w:r>
      <w:r w:rsidRPr="00470550">
        <w:rPr>
          <w:rStyle w:val="None"/>
          <w:rFonts w:ascii="Times New Roman" w:hAnsi="Times New Roman" w:cs="Times New Roman"/>
          <w:sz w:val="24"/>
          <w:szCs w:val="24"/>
        </w:rPr>
        <w:tab/>
        <w:t xml:space="preserve">numbers. </w:t>
      </w:r>
      <w:r w:rsidRPr="001A25AC">
        <w:rPr>
          <w:rStyle w:val="None"/>
          <w:rFonts w:ascii="Times New Roman" w:hAnsi="Times New Roman" w:cs="Times New Roman"/>
          <w:i/>
          <w:iCs/>
          <w:sz w:val="24"/>
          <w:szCs w:val="24"/>
        </w:rPr>
        <w:t>Journal for Research in Mathematics Education</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40</w:t>
      </w:r>
      <w:r w:rsidRPr="001A25AC">
        <w:rPr>
          <w:rStyle w:val="None"/>
          <w:rFonts w:ascii="Times New Roman" w:hAnsi="Times New Roman" w:cs="Times New Roman"/>
          <w:sz w:val="24"/>
          <w:szCs w:val="24"/>
        </w:rPr>
        <w:t xml:space="preserve">(3), 251–281. </w:t>
      </w:r>
      <w:r w:rsidRPr="001A25AC">
        <w:rPr>
          <w:rStyle w:val="None"/>
          <w:rFonts w:ascii="Times New Roman" w:hAnsi="Times New Roman" w:cs="Times New Roman"/>
          <w:sz w:val="24"/>
          <w:szCs w:val="24"/>
        </w:rPr>
        <w:tab/>
      </w:r>
      <w:hyperlink r:id="rId34" w:history="1">
        <w:r w:rsidRPr="0097697E">
          <w:rPr>
            <w:rStyle w:val="Hyperlink2"/>
            <w:rFonts w:eastAsia="Arial Unicode MS"/>
          </w:rPr>
          <w:t>https://doi.org/10.5951/jresematheduc.40.3.0251</w:t>
        </w:r>
      </w:hyperlink>
    </w:p>
    <w:p w:rsidR="0097697E" w:rsidRPr="00181619" w:rsidRDefault="0097697E" w:rsidP="00181619">
      <w:pPr>
        <w:pStyle w:val="Body"/>
        <w:spacing w:line="480" w:lineRule="auto"/>
        <w:rPr>
          <w:rStyle w:val="None"/>
          <w:rFonts w:ascii="Times New Roman" w:hAnsi="Times New Roman" w:cs="Times New Roman"/>
          <w:sz w:val="24"/>
          <w:szCs w:val="24"/>
        </w:rPr>
      </w:pPr>
      <w:r w:rsidRPr="00181619">
        <w:rPr>
          <w:rStyle w:val="None"/>
          <w:rFonts w:ascii="Times New Roman" w:hAnsi="Times New Roman" w:cs="Times New Roman"/>
          <w:sz w:val="24"/>
          <w:szCs w:val="24"/>
        </w:rPr>
        <w:t xml:space="preserve">Thompson, P. W., &amp; Smith, J. Q. (2017). 4 Quantitative reasoning and the development of </w:t>
      </w:r>
      <w:r w:rsidRPr="00181619">
        <w:rPr>
          <w:rStyle w:val="None"/>
          <w:rFonts w:ascii="Times New Roman" w:hAnsi="Times New Roman" w:cs="Times New Roman"/>
          <w:sz w:val="24"/>
          <w:szCs w:val="24"/>
        </w:rPr>
        <w:tab/>
        <w:t xml:space="preserve">algebraic reasoning. In J. J. Kaput, D. W. </w:t>
      </w:r>
      <w:proofErr w:type="spellStart"/>
      <w:r w:rsidRPr="00181619">
        <w:rPr>
          <w:rStyle w:val="None"/>
          <w:rFonts w:ascii="Times New Roman" w:hAnsi="Times New Roman" w:cs="Times New Roman"/>
          <w:sz w:val="24"/>
          <w:szCs w:val="24"/>
        </w:rPr>
        <w:t>Carraher</w:t>
      </w:r>
      <w:proofErr w:type="spellEnd"/>
      <w:r w:rsidRPr="00181619">
        <w:rPr>
          <w:rStyle w:val="None"/>
          <w:rFonts w:ascii="Times New Roman" w:hAnsi="Times New Roman" w:cs="Times New Roman"/>
          <w:sz w:val="24"/>
          <w:szCs w:val="24"/>
        </w:rPr>
        <w:t xml:space="preserve">., &amp; M. L. Blanton (Eds.), Algebra in </w:t>
      </w:r>
      <w:r w:rsidRPr="00181619">
        <w:rPr>
          <w:rStyle w:val="None"/>
          <w:rFonts w:ascii="Times New Roman" w:hAnsi="Times New Roman" w:cs="Times New Roman"/>
          <w:sz w:val="24"/>
          <w:szCs w:val="24"/>
        </w:rPr>
        <w:tab/>
        <w:t xml:space="preserve">the early grades. </w:t>
      </w:r>
      <w:r w:rsidRPr="00181619">
        <w:rPr>
          <w:rStyle w:val="None"/>
          <w:rFonts w:ascii="Times New Roman" w:hAnsi="Times New Roman" w:cs="Times New Roman"/>
          <w:color w:val="0432FF"/>
          <w:sz w:val="24"/>
          <w:szCs w:val="24"/>
          <w:u w:val="single"/>
        </w:rPr>
        <w:t>https://doi.org/10.4324/9781315097435-5</w:t>
      </w:r>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Van Hoof, J., </w:t>
      </w:r>
      <w:proofErr w:type="spellStart"/>
      <w:r w:rsidRPr="00470550">
        <w:rPr>
          <w:rStyle w:val="None"/>
          <w:rFonts w:ascii="Times New Roman" w:hAnsi="Times New Roman" w:cs="Times New Roman"/>
          <w:sz w:val="24"/>
          <w:szCs w:val="24"/>
        </w:rPr>
        <w:t>Degrande</w:t>
      </w:r>
      <w:proofErr w:type="spellEnd"/>
      <w:r w:rsidRPr="00470550">
        <w:rPr>
          <w:rStyle w:val="None"/>
          <w:rFonts w:ascii="Times New Roman" w:hAnsi="Times New Roman" w:cs="Times New Roman"/>
          <w:sz w:val="24"/>
          <w:szCs w:val="24"/>
        </w:rPr>
        <w:t xml:space="preserve">, T., </w:t>
      </w:r>
      <w:proofErr w:type="spellStart"/>
      <w:r w:rsidRPr="00470550">
        <w:rPr>
          <w:rStyle w:val="None"/>
          <w:rFonts w:ascii="Times New Roman" w:hAnsi="Times New Roman" w:cs="Times New Roman"/>
          <w:sz w:val="24"/>
          <w:szCs w:val="24"/>
        </w:rPr>
        <w:t>Ceulemans</w:t>
      </w:r>
      <w:proofErr w:type="spellEnd"/>
      <w:r w:rsidRPr="00470550">
        <w:rPr>
          <w:rStyle w:val="None"/>
          <w:rFonts w:ascii="Times New Roman" w:hAnsi="Times New Roman" w:cs="Times New Roman"/>
          <w:sz w:val="24"/>
          <w:szCs w:val="24"/>
        </w:rPr>
        <w:t xml:space="preserve">, E., </w:t>
      </w:r>
      <w:proofErr w:type="spellStart"/>
      <w:r w:rsidRPr="00470550">
        <w:rPr>
          <w:rStyle w:val="None"/>
          <w:rFonts w:ascii="Times New Roman" w:hAnsi="Times New Roman" w:cs="Times New Roman"/>
          <w:sz w:val="24"/>
          <w:szCs w:val="24"/>
        </w:rPr>
        <w:t>Verschaffel</w:t>
      </w:r>
      <w:proofErr w:type="spellEnd"/>
      <w:r w:rsidRPr="00470550">
        <w:rPr>
          <w:rStyle w:val="None"/>
          <w:rFonts w:ascii="Times New Roman" w:hAnsi="Times New Roman" w:cs="Times New Roman"/>
          <w:sz w:val="24"/>
          <w:szCs w:val="24"/>
        </w:rPr>
        <w:t xml:space="preserve">, L., &amp; Van </w:t>
      </w:r>
      <w:proofErr w:type="spellStart"/>
      <w:r w:rsidRPr="00470550">
        <w:rPr>
          <w:rStyle w:val="None"/>
          <w:rFonts w:ascii="Times New Roman" w:hAnsi="Times New Roman" w:cs="Times New Roman"/>
          <w:sz w:val="24"/>
          <w:szCs w:val="24"/>
        </w:rPr>
        <w:t>Dooren</w:t>
      </w:r>
      <w:proofErr w:type="spellEnd"/>
      <w:r w:rsidRPr="00470550">
        <w:rPr>
          <w:rStyle w:val="None"/>
          <w:rFonts w:ascii="Times New Roman" w:hAnsi="Times New Roman" w:cs="Times New Roman"/>
          <w:sz w:val="24"/>
          <w:szCs w:val="24"/>
        </w:rPr>
        <w:t xml:space="preserve">, W. (2018). Towards </w:t>
      </w:r>
      <w:r w:rsidRPr="00470550">
        <w:rPr>
          <w:rStyle w:val="None"/>
          <w:rFonts w:ascii="Times New Roman" w:hAnsi="Times New Roman" w:cs="Times New Roman"/>
          <w:sz w:val="24"/>
          <w:szCs w:val="24"/>
        </w:rPr>
        <w:tab/>
        <w:t xml:space="preserve">a mathematically more correct understanding of rational numbers: A longitudinal study </w:t>
      </w:r>
      <w:r w:rsidRPr="00470550">
        <w:rPr>
          <w:rStyle w:val="None"/>
          <w:rFonts w:ascii="Times New Roman" w:hAnsi="Times New Roman" w:cs="Times New Roman"/>
          <w:sz w:val="24"/>
          <w:szCs w:val="24"/>
        </w:rPr>
        <w:tab/>
        <w:t>with upper elementary school learners</w:t>
      </w:r>
      <w:r w:rsidRPr="001A25AC">
        <w:rPr>
          <w:rStyle w:val="None"/>
          <w:rFonts w:ascii="Times New Roman" w:hAnsi="Times New Roman" w:cs="Times New Roman"/>
          <w:i/>
          <w:iCs/>
          <w:sz w:val="24"/>
          <w:szCs w:val="24"/>
        </w:rPr>
        <w:t>. Learning and Individual Differences</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61</w:t>
      </w:r>
      <w:r w:rsidRPr="001A25AC">
        <w:rPr>
          <w:rStyle w:val="None"/>
          <w:rFonts w:ascii="Times New Roman" w:hAnsi="Times New Roman" w:cs="Times New Roman"/>
          <w:sz w:val="24"/>
          <w:szCs w:val="24"/>
        </w:rPr>
        <w:t xml:space="preserve">, 99–108. </w:t>
      </w:r>
      <w:r w:rsidRPr="001A25AC">
        <w:rPr>
          <w:rStyle w:val="None"/>
          <w:rFonts w:ascii="Times New Roman" w:hAnsi="Times New Roman" w:cs="Times New Roman"/>
          <w:sz w:val="24"/>
          <w:szCs w:val="24"/>
        </w:rPr>
        <w:tab/>
      </w:r>
      <w:hyperlink r:id="rId35" w:history="1">
        <w:r w:rsidRPr="00470550">
          <w:rPr>
            <w:rStyle w:val="Hyperlink1"/>
            <w:rFonts w:eastAsia="Arial Unicode MS"/>
          </w:rPr>
          <w:t>https://doi.org/10.1016/j.lindif.2017.11.010</w:t>
        </w:r>
      </w:hyperlink>
    </w:p>
    <w:p w:rsidR="00556DEB" w:rsidRPr="001A25AC" w:rsidRDefault="000F31CF">
      <w:pPr>
        <w:pStyle w:val="Body"/>
        <w:spacing w:line="480" w:lineRule="auto"/>
        <w:rPr>
          <w:rStyle w:val="None"/>
          <w:rFonts w:ascii="Times New Roman" w:eastAsia="Times New Roman" w:hAnsi="Times New Roman" w:cs="Times New Roman"/>
          <w:sz w:val="24"/>
          <w:szCs w:val="24"/>
        </w:rPr>
      </w:pPr>
      <w:r w:rsidRPr="00470550">
        <w:rPr>
          <w:rStyle w:val="None"/>
          <w:rFonts w:ascii="Times New Roman" w:hAnsi="Times New Roman" w:cs="Times New Roman"/>
          <w:sz w:val="24"/>
          <w:szCs w:val="24"/>
        </w:rPr>
        <w:t xml:space="preserve">Van Hoof, J., </w:t>
      </w:r>
      <w:proofErr w:type="spellStart"/>
      <w:r w:rsidRPr="00470550">
        <w:rPr>
          <w:rStyle w:val="None"/>
          <w:rFonts w:ascii="Times New Roman" w:hAnsi="Times New Roman" w:cs="Times New Roman"/>
          <w:sz w:val="24"/>
          <w:szCs w:val="24"/>
        </w:rPr>
        <w:t>Verschaffel</w:t>
      </w:r>
      <w:proofErr w:type="spellEnd"/>
      <w:r w:rsidRPr="00470550">
        <w:rPr>
          <w:rStyle w:val="None"/>
          <w:rFonts w:ascii="Times New Roman" w:hAnsi="Times New Roman" w:cs="Times New Roman"/>
          <w:sz w:val="24"/>
          <w:szCs w:val="24"/>
        </w:rPr>
        <w:t xml:space="preserve">, L., De </w:t>
      </w:r>
      <w:proofErr w:type="spellStart"/>
      <w:r w:rsidRPr="00470550">
        <w:rPr>
          <w:rStyle w:val="None"/>
          <w:rFonts w:ascii="Times New Roman" w:hAnsi="Times New Roman" w:cs="Times New Roman"/>
          <w:sz w:val="24"/>
          <w:szCs w:val="24"/>
        </w:rPr>
        <w:t>Neys</w:t>
      </w:r>
      <w:proofErr w:type="spellEnd"/>
      <w:r w:rsidRPr="00470550">
        <w:rPr>
          <w:rStyle w:val="None"/>
          <w:rFonts w:ascii="Times New Roman" w:hAnsi="Times New Roman" w:cs="Times New Roman"/>
          <w:sz w:val="24"/>
          <w:szCs w:val="24"/>
        </w:rPr>
        <w:t xml:space="preserve">, W., &amp; Van </w:t>
      </w:r>
      <w:proofErr w:type="spellStart"/>
      <w:r w:rsidRPr="00470550">
        <w:rPr>
          <w:rStyle w:val="None"/>
          <w:rFonts w:ascii="Times New Roman" w:hAnsi="Times New Roman" w:cs="Times New Roman"/>
          <w:sz w:val="24"/>
          <w:szCs w:val="24"/>
        </w:rPr>
        <w:t>Dooren</w:t>
      </w:r>
      <w:proofErr w:type="spellEnd"/>
      <w:r w:rsidRPr="00470550">
        <w:rPr>
          <w:rStyle w:val="None"/>
          <w:rFonts w:ascii="Times New Roman" w:hAnsi="Times New Roman" w:cs="Times New Roman"/>
          <w:sz w:val="24"/>
          <w:szCs w:val="24"/>
        </w:rPr>
        <w:t xml:space="preserve">, W. (2020). Intuitive errors in </w:t>
      </w:r>
      <w:r w:rsidRPr="00470550">
        <w:rPr>
          <w:rStyle w:val="None"/>
          <w:rFonts w:ascii="Times New Roman" w:hAnsi="Times New Roman" w:cs="Times New Roman"/>
          <w:sz w:val="24"/>
          <w:szCs w:val="24"/>
        </w:rPr>
        <w:tab/>
        <w:t>learners</w:t>
      </w:r>
      <w:r w:rsidR="00F53672">
        <w:rPr>
          <w:rStyle w:val="None"/>
          <w:rFonts w:ascii="Times New Roman" w:hAnsi="Times New Roman" w:cs="Times New Roman"/>
          <w:sz w:val="24"/>
          <w:szCs w:val="24"/>
        </w:rPr>
        <w:t>’</w:t>
      </w:r>
      <w:r w:rsidRPr="00470550">
        <w:rPr>
          <w:rStyle w:val="None"/>
          <w:rFonts w:ascii="Times New Roman" w:hAnsi="Times New Roman" w:cs="Times New Roman"/>
          <w:sz w:val="24"/>
          <w:szCs w:val="24"/>
        </w:rPr>
        <w:t xml:space="preserve"> fraction understanding: A dual-process perspective on the natural number bias. </w:t>
      </w:r>
      <w:r w:rsidRPr="00470550">
        <w:rPr>
          <w:rStyle w:val="None"/>
          <w:rFonts w:ascii="Times New Roman" w:hAnsi="Times New Roman" w:cs="Times New Roman"/>
          <w:sz w:val="24"/>
          <w:szCs w:val="24"/>
        </w:rPr>
        <w:tab/>
      </w:r>
      <w:r w:rsidRPr="001A25AC">
        <w:rPr>
          <w:rStyle w:val="None"/>
          <w:rFonts w:ascii="Times New Roman" w:hAnsi="Times New Roman" w:cs="Times New Roman"/>
          <w:i/>
          <w:iCs/>
          <w:sz w:val="24"/>
          <w:szCs w:val="24"/>
        </w:rPr>
        <w:t>Memory &amp; Cognition</w:t>
      </w:r>
      <w:r w:rsidRPr="001A25AC">
        <w:rPr>
          <w:rStyle w:val="None"/>
          <w:rFonts w:ascii="Times New Roman" w:hAnsi="Times New Roman" w:cs="Times New Roman"/>
          <w:sz w:val="24"/>
          <w:szCs w:val="24"/>
        </w:rPr>
        <w:t xml:space="preserve">, </w:t>
      </w:r>
      <w:r w:rsidRPr="001A25AC">
        <w:rPr>
          <w:rStyle w:val="None"/>
          <w:rFonts w:ascii="Times New Roman" w:hAnsi="Times New Roman" w:cs="Times New Roman"/>
          <w:i/>
          <w:iCs/>
          <w:sz w:val="24"/>
          <w:szCs w:val="24"/>
        </w:rPr>
        <w:t>48</w:t>
      </w:r>
      <w:r w:rsidRPr="001A25AC">
        <w:rPr>
          <w:rStyle w:val="None"/>
          <w:rFonts w:ascii="Times New Roman" w:hAnsi="Times New Roman" w:cs="Times New Roman"/>
          <w:sz w:val="24"/>
          <w:szCs w:val="24"/>
        </w:rPr>
        <w:t xml:space="preserve">(7), 1171–1180. </w:t>
      </w:r>
      <w:hyperlink r:id="rId36" w:history="1">
        <w:r w:rsidRPr="00470550">
          <w:rPr>
            <w:rStyle w:val="Hyperlink2"/>
            <w:rFonts w:eastAsia="Arial Unicode MS"/>
          </w:rPr>
          <w:t>https://doi.org/10.3758/s13421-020-01045-1</w:t>
        </w:r>
      </w:hyperlink>
    </w:p>
    <w:p w:rsidR="00556DEB" w:rsidRPr="00470550" w:rsidRDefault="000F31CF">
      <w:pPr>
        <w:pStyle w:val="Body"/>
        <w:spacing w:line="480" w:lineRule="auto"/>
        <w:rPr>
          <w:rStyle w:val="None"/>
          <w:rFonts w:ascii="Times New Roman" w:eastAsia="Times New Roman" w:hAnsi="Times New Roman" w:cs="Times New Roman"/>
          <w:sz w:val="24"/>
          <w:szCs w:val="24"/>
        </w:rPr>
      </w:pPr>
      <w:proofErr w:type="spellStart"/>
      <w:r w:rsidRPr="00470550">
        <w:rPr>
          <w:rStyle w:val="None"/>
          <w:rFonts w:ascii="Times New Roman" w:hAnsi="Times New Roman" w:cs="Times New Roman"/>
          <w:sz w:val="24"/>
          <w:szCs w:val="24"/>
        </w:rPr>
        <w:t>Wibneh</w:t>
      </w:r>
      <w:proofErr w:type="spellEnd"/>
      <w:r w:rsidRPr="00470550">
        <w:rPr>
          <w:rStyle w:val="None"/>
          <w:rFonts w:ascii="Times New Roman" w:hAnsi="Times New Roman" w:cs="Times New Roman"/>
          <w:sz w:val="24"/>
          <w:szCs w:val="24"/>
        </w:rPr>
        <w:t xml:space="preserve">, G. (2016). </w:t>
      </w:r>
      <w:r w:rsidRPr="00470550">
        <w:rPr>
          <w:rStyle w:val="None"/>
          <w:rFonts w:ascii="Times New Roman" w:hAnsi="Times New Roman" w:cs="Times New Roman"/>
          <w:i/>
          <w:iCs/>
          <w:sz w:val="24"/>
          <w:szCs w:val="24"/>
        </w:rPr>
        <w:t>5 + 1 t</w:t>
      </w:r>
      <w:r w:rsidRPr="001A25AC">
        <w:rPr>
          <w:rStyle w:val="None"/>
          <w:rFonts w:ascii="Times New Roman" w:hAnsi="Times New Roman" w:cs="Times New Roman"/>
          <w:i/>
          <w:iCs/>
          <w:sz w:val="24"/>
          <w:szCs w:val="24"/>
        </w:rPr>
        <w:t>hings teachers can do to close the math achievement gap</w:t>
      </w:r>
      <w:r w:rsidRPr="001A25AC">
        <w:rPr>
          <w:rStyle w:val="None"/>
          <w:rFonts w:ascii="Times New Roman" w:hAnsi="Times New Roman" w:cs="Times New Roman"/>
          <w:sz w:val="24"/>
          <w:szCs w:val="24"/>
        </w:rPr>
        <w:t xml:space="preserve">. LINCS </w:t>
      </w:r>
      <w:r w:rsidRPr="001A25AC">
        <w:rPr>
          <w:rStyle w:val="None"/>
          <w:rFonts w:ascii="Times New Roman" w:hAnsi="Times New Roman" w:cs="Times New Roman"/>
          <w:sz w:val="24"/>
          <w:szCs w:val="24"/>
        </w:rPr>
        <w:tab/>
        <w:t xml:space="preserve">Community Adult Education and Literacy, U.S. Department of Education. </w:t>
      </w:r>
      <w:r w:rsidRPr="001A25AC">
        <w:rPr>
          <w:rStyle w:val="None"/>
          <w:rFonts w:ascii="Times New Roman" w:hAnsi="Times New Roman" w:cs="Times New Roman"/>
          <w:sz w:val="24"/>
          <w:szCs w:val="24"/>
        </w:rPr>
        <w:tab/>
      </w:r>
      <w:hyperlink r:id="rId37" w:history="1">
        <w:r w:rsidRPr="00470550">
          <w:rPr>
            <w:rStyle w:val="Hyperlink2"/>
            <w:rFonts w:eastAsia="Arial Unicode MS"/>
          </w:rPr>
          <w:t>https://community.lincs.ed.gov/group/24/discussion/article-5-1-things-teachers-can-do-</w:t>
        </w:r>
        <w:r w:rsidRPr="001A25AC">
          <w:rPr>
            <w:rStyle w:val="Hyperlink0"/>
            <w:rFonts w:ascii="Times New Roman" w:hAnsi="Times New Roman" w:cs="Times New Roman"/>
            <w:sz w:val="24"/>
            <w:szCs w:val="24"/>
            <w:u w:val="none"/>
          </w:rPr>
          <w:tab/>
        </w:r>
        <w:r w:rsidRPr="00470550">
          <w:rPr>
            <w:rStyle w:val="Hyperlink2"/>
            <w:rFonts w:eastAsia="Arial Unicode MS"/>
          </w:rPr>
          <w:t>close-math-achievement-gap</w:t>
        </w:r>
      </w:hyperlink>
    </w:p>
    <w:p w:rsidR="00556DEB" w:rsidRPr="001A25AC" w:rsidRDefault="000F31CF">
      <w:pPr>
        <w:pStyle w:val="Body"/>
        <w:spacing w:line="480" w:lineRule="auto"/>
        <w:rPr>
          <w:rFonts w:ascii="Times New Roman" w:hAnsi="Times New Roman" w:cs="Times New Roman"/>
        </w:rPr>
      </w:pPr>
      <w:r w:rsidRPr="004421BB">
        <w:rPr>
          <w:rStyle w:val="None"/>
          <w:rFonts w:ascii="Times New Roman" w:hAnsi="Times New Roman" w:cs="Times New Roman"/>
          <w:sz w:val="24"/>
          <w:szCs w:val="24"/>
          <w:lang w:val="it-IT"/>
        </w:rPr>
        <w:t xml:space="preserve">Yong, L. L., &amp; Se, A. T. (2004). </w:t>
      </w:r>
      <w:r w:rsidRPr="004421BB">
        <w:rPr>
          <w:rStyle w:val="None"/>
          <w:rFonts w:ascii="Times New Roman" w:hAnsi="Times New Roman" w:cs="Times New Roman"/>
          <w:i/>
          <w:iCs/>
          <w:sz w:val="24"/>
          <w:szCs w:val="24"/>
          <w:lang w:val="it-IT"/>
        </w:rPr>
        <w:t xml:space="preserve">Fleeting footsteps: Tracing the conception of arithmetic and </w:t>
      </w:r>
      <w:r w:rsidRPr="004421BB">
        <w:rPr>
          <w:rStyle w:val="None"/>
          <w:rFonts w:ascii="Times New Roman" w:hAnsi="Times New Roman" w:cs="Times New Roman"/>
          <w:i/>
          <w:iCs/>
          <w:sz w:val="24"/>
          <w:szCs w:val="24"/>
          <w:lang w:val="it-IT"/>
        </w:rPr>
        <w:tab/>
        <w:t>algebra in ancient China</w:t>
      </w:r>
      <w:r w:rsidRPr="001A25AC">
        <w:rPr>
          <w:rStyle w:val="None"/>
          <w:rFonts w:ascii="Times New Roman" w:hAnsi="Times New Roman" w:cs="Times New Roman"/>
          <w:sz w:val="24"/>
          <w:szCs w:val="24"/>
        </w:rPr>
        <w:t xml:space="preserve"> (Revised edition). World Scientific Publishing Company. </w:t>
      </w:r>
      <w:r w:rsidRPr="001A25AC">
        <w:rPr>
          <w:rStyle w:val="None"/>
          <w:rFonts w:ascii="Times New Roman" w:hAnsi="Times New Roman" w:cs="Times New Roman"/>
          <w:sz w:val="24"/>
          <w:szCs w:val="24"/>
        </w:rPr>
        <w:tab/>
      </w:r>
      <w:hyperlink r:id="rId38" w:history="1">
        <w:r w:rsidRPr="00225166">
          <w:rPr>
            <w:rStyle w:val="Hyperlink2"/>
            <w:rFonts w:eastAsia="Arial Unicode MS"/>
          </w:rPr>
          <w:t>https://doi.org/10.1142/5425</w:t>
        </w:r>
      </w:hyperlink>
      <w:r w:rsidRPr="00225166">
        <w:rPr>
          <w:rStyle w:val="None"/>
          <w:rFonts w:ascii="Times New Roman" w:hAnsi="Times New Roman" w:cs="Times New Roman"/>
          <w:sz w:val="24"/>
          <w:szCs w:val="24"/>
        </w:rPr>
        <w:t xml:space="preserve"> </w:t>
      </w:r>
    </w:p>
    <w:sectPr w:rsidR="00556DEB" w:rsidRPr="001A25AC">
      <w:headerReference w:type="default" r:id="rId39"/>
      <w:footerReference w:type="defaul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700" w:rsidRDefault="00F03700">
      <w:r>
        <w:separator/>
      </w:r>
    </w:p>
  </w:endnote>
  <w:endnote w:type="continuationSeparator" w:id="0">
    <w:p w:rsidR="00F03700" w:rsidRDefault="00F0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66" w:rsidRDefault="00225166">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700" w:rsidRDefault="00F03700">
      <w:r>
        <w:separator/>
      </w:r>
    </w:p>
  </w:footnote>
  <w:footnote w:type="continuationSeparator" w:id="0">
    <w:p w:rsidR="00F03700" w:rsidRDefault="00F037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66" w:rsidRDefault="00225166">
    <w:pPr>
      <w:pStyle w:val="Body"/>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272B77">
      <w:rPr>
        <w:rFonts w:ascii="Times New Roman" w:hAnsi="Times New Roman"/>
        <w:noProof/>
      </w:rPr>
      <w:t>16</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EB"/>
    <w:rsid w:val="000229A1"/>
    <w:rsid w:val="00092B0F"/>
    <w:rsid w:val="000A4457"/>
    <w:rsid w:val="000F0683"/>
    <w:rsid w:val="000F31CF"/>
    <w:rsid w:val="00181619"/>
    <w:rsid w:val="0018691C"/>
    <w:rsid w:val="001A25AC"/>
    <w:rsid w:val="00225166"/>
    <w:rsid w:val="00254929"/>
    <w:rsid w:val="00272B77"/>
    <w:rsid w:val="003841BD"/>
    <w:rsid w:val="00385C79"/>
    <w:rsid w:val="004261DF"/>
    <w:rsid w:val="004421BB"/>
    <w:rsid w:val="00470550"/>
    <w:rsid w:val="005320A6"/>
    <w:rsid w:val="00556DEB"/>
    <w:rsid w:val="007A16AF"/>
    <w:rsid w:val="00846CDA"/>
    <w:rsid w:val="008745B2"/>
    <w:rsid w:val="0097697E"/>
    <w:rsid w:val="00AB722A"/>
    <w:rsid w:val="00B7272D"/>
    <w:rsid w:val="00CB0619"/>
    <w:rsid w:val="00CB44C4"/>
    <w:rsid w:val="00D828AC"/>
    <w:rsid w:val="00E771ED"/>
    <w:rsid w:val="00E82B9A"/>
    <w:rsid w:val="00E83475"/>
    <w:rsid w:val="00EA242F"/>
    <w:rsid w:val="00F03700"/>
    <w:rsid w:val="00F53672"/>
    <w:rsid w:val="00FD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5C53"/>
  <w15:docId w15:val="{04DD736D-B64B-4CA8-80AB-476711DB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outline w:val="0"/>
      <w:color w:val="1155CC"/>
      <w:sz w:val="24"/>
      <w:szCs w:val="24"/>
      <w:u w:val="single" w:color="1155CC"/>
    </w:rPr>
  </w:style>
  <w:style w:type="character" w:customStyle="1" w:styleId="Hyperlink2">
    <w:name w:val="Hyperlink.2"/>
    <w:basedOn w:val="Hyperlink0"/>
    <w:rPr>
      <w:rFonts w:ascii="Times New Roman" w:eastAsia="Times New Roman" w:hAnsi="Times New Roman" w:cs="Times New Roman"/>
      <w:outline w:val="0"/>
      <w:color w:val="0000FF"/>
      <w:sz w:val="24"/>
      <w:szCs w:val="24"/>
      <w:u w:val="single" w:color="0000FF"/>
    </w:rPr>
  </w:style>
  <w:style w:type="character" w:customStyle="1" w:styleId="Hyperlink3">
    <w:name w:val="Hyperlink.3"/>
    <w:basedOn w:val="Hyperlink0"/>
    <w:rPr>
      <w:rFonts w:ascii="Times New Roman" w:eastAsia="Times New Roman" w:hAnsi="Times New Roman" w:cs="Times New Roman"/>
      <w:outline w:val="0"/>
      <w:color w:val="0000FF"/>
      <w:sz w:val="24"/>
      <w:szCs w:val="24"/>
      <w:u w:val="single" w:color="0000FF"/>
    </w:rPr>
  </w:style>
  <w:style w:type="character" w:customStyle="1" w:styleId="Hyperlink4">
    <w:name w:val="Hyperlink.4"/>
    <w:basedOn w:val="Hyperlink0"/>
    <w:rPr>
      <w:rFonts w:ascii="Times New Roman" w:eastAsia="Times New Roman" w:hAnsi="Times New Roman" w:cs="Times New Roman"/>
      <w:outline w:val="0"/>
      <w:color w:val="0000FF"/>
      <w:sz w:val="24"/>
      <w:szCs w:val="24"/>
      <w:u w:val="single" w:color="0000FF"/>
      <w:shd w:val="clear" w:color="auto" w:fill="FFFF00"/>
    </w:rPr>
  </w:style>
  <w:style w:type="character" w:customStyle="1" w:styleId="Hyperlink5">
    <w:name w:val="Hyperlink.5"/>
    <w:basedOn w:val="None"/>
    <w:rPr>
      <w:rFonts w:ascii="Times New Roman" w:eastAsia="Times New Roman" w:hAnsi="Times New Roman" w:cs="Times New Roman"/>
      <w:outline w:val="0"/>
      <w:color w:val="1155CC"/>
      <w:sz w:val="24"/>
      <w:szCs w:val="24"/>
      <w:u w:val="single" w:color="1155CC"/>
      <w:shd w:val="clear" w:color="auto" w:fill="FFFF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2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9A1"/>
    <w:rPr>
      <w:rFonts w:ascii="Segoe UI" w:hAnsi="Segoe UI" w:cs="Segoe UI"/>
      <w:sz w:val="18"/>
      <w:szCs w:val="18"/>
    </w:rPr>
  </w:style>
  <w:style w:type="paragraph" w:styleId="NoSpacing">
    <w:name w:val="No Spacing"/>
    <w:uiPriority w:val="1"/>
    <w:qFormat/>
    <w:rsid w:val="000229A1"/>
    <w:rPr>
      <w:sz w:val="24"/>
      <w:szCs w:val="24"/>
    </w:rPr>
  </w:style>
  <w:style w:type="paragraph" w:styleId="CommentSubject">
    <w:name w:val="annotation subject"/>
    <w:basedOn w:val="CommentText"/>
    <w:next w:val="CommentText"/>
    <w:link w:val="CommentSubjectChar"/>
    <w:uiPriority w:val="99"/>
    <w:semiHidden/>
    <w:unhideWhenUsed/>
    <w:rsid w:val="007A16AF"/>
    <w:rPr>
      <w:b/>
      <w:bCs/>
    </w:rPr>
  </w:style>
  <w:style w:type="character" w:customStyle="1" w:styleId="CommentSubjectChar">
    <w:name w:val="Comment Subject Char"/>
    <w:basedOn w:val="CommentTextChar"/>
    <w:link w:val="CommentSubject"/>
    <w:uiPriority w:val="99"/>
    <w:semiHidden/>
    <w:rsid w:val="007A16AF"/>
    <w:rPr>
      <w:b/>
      <w:bCs/>
    </w:rPr>
  </w:style>
  <w:style w:type="character" w:styleId="FollowedHyperlink">
    <w:name w:val="FollowedHyperlink"/>
    <w:basedOn w:val="DefaultParagraphFont"/>
    <w:uiPriority w:val="99"/>
    <w:semiHidden/>
    <w:unhideWhenUsed/>
    <w:rsid w:val="00470550"/>
    <w:rPr>
      <w:color w:val="FF00FF" w:themeColor="followedHyperlink"/>
      <w:u w:val="single"/>
    </w:rPr>
  </w:style>
  <w:style w:type="paragraph" w:styleId="Revision">
    <w:name w:val="Revision"/>
    <w:hidden/>
    <w:uiPriority w:val="99"/>
    <w:semiHidden/>
    <w:rsid w:val="00E834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educ.2021.784393" TargetMode="External"/><Relationship Id="rId18" Type="http://schemas.openxmlformats.org/officeDocument/2006/relationships/hyperlink" Target="https://doi.org/10.1119/10.0014308" TargetMode="External"/><Relationship Id="rId26" Type="http://schemas.openxmlformats.org/officeDocument/2006/relationships/hyperlink" Target="https://doi.org/10.4324/9781410602589" TargetMode="External"/><Relationship Id="rId39" Type="http://schemas.openxmlformats.org/officeDocument/2006/relationships/header" Target="header1.xml"/><Relationship Id="rId21" Type="http://schemas.openxmlformats.org/officeDocument/2006/relationships/hyperlink" Target="https://doi.org/10.2307/749701" TargetMode="External"/><Relationship Id="rId34" Type="http://schemas.openxmlformats.org/officeDocument/2006/relationships/hyperlink" Target="https://doi.org/10.5951/jresematheduc.40.3.0251"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link.springer.com/article/10.1007/s40593-019-00187-x" TargetMode="External"/><Relationship Id="rId20" Type="http://schemas.openxmlformats.org/officeDocument/2006/relationships/hyperlink" Target="https://doi.org/10.1090/noti2102" TargetMode="External"/><Relationship Id="rId29" Type="http://schemas.openxmlformats.org/officeDocument/2006/relationships/hyperlink" Target="https://www.nationsreportcard.gov/mathematics/"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9-0008-1924-1222" TargetMode="External"/><Relationship Id="rId11" Type="http://schemas.openxmlformats.org/officeDocument/2006/relationships/image" Target="media/image3.png"/><Relationship Id="rId24" Type="http://schemas.openxmlformats.org/officeDocument/2006/relationships/hyperlink" Target="https://dcmathpathways.org/sites/default/files/resources/2019-%0903/CaseforMathPathways_20190313.pdf" TargetMode="External"/><Relationship Id="rId32" Type="http://schemas.openxmlformats.org/officeDocument/2006/relationships/hyperlink" Target="https:/HistTopics/Indian_numerals/" TargetMode="External"/><Relationship Id="rId37" Type="http://schemas.openxmlformats.org/officeDocument/2006/relationships/hyperlink" Target="https://community.lincs.ed.gov/group/24/discussion/article-5-1-things-teachers-can-do-%09close-math-achievement-gap"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1007/s10212-022-00669-y" TargetMode="External"/><Relationship Id="rId23" Type="http://schemas.openxmlformats.org/officeDocument/2006/relationships/hyperlink" Target="https://doi.org/10.1007/s10649-020-09962-3" TargetMode="External"/><Relationship Id="rId28" Type="http://schemas.openxmlformats.org/officeDocument/2006/relationships/hyperlink" Target="https://doi.org/10.1080/0161956x.2012.642274" TargetMode="External"/><Relationship Id="rId36" Type="http://schemas.openxmlformats.org/officeDocument/2006/relationships/hyperlink" Target="https://doi.org/10.3758/s13421-020-01045-1" TargetMode="External"/><Relationship Id="rId10" Type="http://schemas.openxmlformats.org/officeDocument/2006/relationships/hyperlink" Target="http://khanacademy.com" TargetMode="External"/><Relationship Id="rId19" Type="http://schemas.openxmlformats.org/officeDocument/2006/relationships/hyperlink" Target="https://doi.org/10.1007/s11858-018-0996-3" TargetMode="External"/><Relationship Id="rId31" Type="http://schemas.openxmlformats.org/officeDocument/2006/relationships/hyperlink" Target="https://doi.org/10.1186/s41235-016-%090040-5"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thecorestandards.org/Math/" TargetMode="External"/><Relationship Id="rId22" Type="http://schemas.openxmlformats.org/officeDocument/2006/relationships/hyperlink" Target="https://doi.org/10.1002/sce.21492" TargetMode="External"/><Relationship Id="rId27" Type="http://schemas.openxmlformats.org/officeDocument/2006/relationships/hyperlink" Target="https://doi.org/10.1111/bjep.12471" TargetMode="External"/><Relationship Id="rId30" Type="http://schemas.openxmlformats.org/officeDocument/2006/relationships/hyperlink" Target="https://nces.ed.gov/programs/digest/d19/tables/dt19_222.10.asp" TargetMode="External"/><Relationship Id="rId35" Type="http://schemas.openxmlformats.org/officeDocument/2006/relationships/hyperlink" Target="https://doi.org/10.1016/j.lindif.2017.11.010" TargetMode="External"/><Relationship Id="rId8" Type="http://schemas.openxmlformats.org/officeDocument/2006/relationships/hyperlink" Target="https://orcid.org/0009-0007-3220-4576" TargetMode="External"/><Relationship Id="rId3" Type="http://schemas.openxmlformats.org/officeDocument/2006/relationships/webSettings" Target="webSettings.xml"/><Relationship Id="rId12" Type="http://schemas.openxmlformats.org/officeDocument/2006/relationships/hyperlink" Target="https://dictionary.apa.org/embodied-cognition" TargetMode="External"/><Relationship Id="rId17" Type="http://schemas.openxmlformats.org/officeDocument/2006/relationships/hyperlink" Target="https://doi.org/10.1002/piq.21143" TargetMode="External"/><Relationship Id="rId25" Type="http://schemas.openxmlformats.org/officeDocument/2006/relationships/hyperlink" Target="https://doi.org/10.1037/edu0000148" TargetMode="External"/><Relationship Id="rId33" Type="http://schemas.openxmlformats.org/officeDocument/2006/relationships/hyperlink" Target="https://scholarship.claremont.edu/cgi/viewcontent.cgi?article=1682&amp;context=jhm" TargetMode="External"/><Relationship Id="rId38" Type="http://schemas.openxmlformats.org/officeDocument/2006/relationships/hyperlink" Target="https://doi.org/10.1142/5425"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7666</Words>
  <Characters>43702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Kimmy Nguyen</cp:lastModifiedBy>
  <cp:revision>6</cp:revision>
  <dcterms:created xsi:type="dcterms:W3CDTF">2024-09-03T23:55:00Z</dcterms:created>
  <dcterms:modified xsi:type="dcterms:W3CDTF">2024-09-08T09:08:00Z</dcterms:modified>
</cp:coreProperties>
</file>